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E-157/2009 vom 19. April 2011</w:t>
      </w:r>
    </w:p>
    <w:p>
      <w:r>
        <w:t>Bundesverwaltungsgericht, 2011-04-19, DE</w:t>
      </w:r>
    </w:p>
    <w:p>
      <w:r>
        <w:rPr>
          <w:b/>
        </w:rPr>
        <w:t xml:space="preserve">Quelle: </w:t>
      </w:r>
      <w:r>
        <w:t>https://mcp.opencaselaw.ch/entscheid/bvger_E-157_2009</w:t>
      </w:r>
    </w:p>
    <w:p>
      <w:r>
        <w:t>FR: TAF E-157/2009 du 19 avril 2011</w:t>
      </w:r>
    </w:p>
    <w:p>
      <w:r>
        <w:t>IT: TAF E-157/2009 del 19 aprile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ist nicht gegeben (vgl. Art. 32 VGG). Das Gericht ist daher zu­stän­dig für die Beurteilung der vorliegenden Beschwerde und entscheidet da­rüber - vorbehältlich des Vorliegens eines Auslieferungsersuchens des Staates, vor welchem die beschwerdeführende Person Schutz sucht - endgültig (Art. 105 des Asylgesetzes vom 26. Juni 1998 [AsylG, SR 142.31]; Art. 83 Bst. d Ziff. 1 des Bundesgerichtsgesetzes vom 17. Ju­ni 2005 [BGG, SR 173.110]). Die Beurteilung des Verfahrens richtet sich nach dem VwVG, dem VGG und dem BGG, soweit das AsylG nichts an­de­res bestimmt (Art. 37 VGG).</w:t>
      </w:r>
    </w:p>
    <w:p>
      <w:r>
        <w:rPr>
          <w:b/>
        </w:rPr>
        <w:t>E. 1.2</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hat die Flüchtlingseigenschaft des Beschwerdeführers verneint, sein Asylgesuch abgelehnt und ihn aus der Schweiz weggewiesen. Der Be­schwerdeführer beantragt in seiner Beschwerde die Aufhebung der Ver­fügung betreffend den Wegweisungsvollzug (Ziffern 4 und 5 des Dis­po­sitivs). Die Verneinung der Flüchtlings­ei­gen­schaft, die Ablehnung des Asyl­gesuchs und die Wegweisung an sich blieben somit unangefochten und sind mit Ablauf der Beschwerdefrist in Rechtskraft erwachsen.</w:t>
      </w:r>
    </w:p>
    <w:p>
      <w:r>
        <w:rPr>
          <w:b/>
        </w:rPr>
        <w:t>E. 3.2</w:t>
      </w:r>
    </w:p>
    <w:p>
      <w:r>
        <w:t>Im vorliegenden Beschwerde­verfahren ist somit einzig die Frage zu be­ant­worten, ob die Wegweisung zu vollziehen oder ob anstelle des Voll­zugs eine vorläufige Aufnahme an­zu­ordnen ist (Art. 44 AsylG i.V.m. Art. 83 des Bundesgesetzes vom 16. Dezember 2005 über die Ausländer­in­nen und Ausländer [AuG, SR 142.20]).</w:t>
      </w:r>
    </w:p>
    <w:p>
      <w:r>
        <w:rPr>
          <w:b/>
        </w:rPr>
        <w:t>E. 4.1</w:t>
      </w:r>
    </w:p>
    <w:p>
      <w:r>
        <w:t>Ist der Vollzug der Wegweisung nicht zulässig, nicht zumutbar oder nicht möglich, regelt das Bundesamt das Anwesenheitsverhältnis nach den gesetzlichen Bestimmungen über die vorläufige Aufnahme von Aus­län­dern (Art. 44 Abs. 2 AsylG; Art. 83 Abs. 1 AuG).</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Wie den nach­fol­gen­den Erwägungen zu entnehmen ist, erweist sich der Vollzug der Weg­weisung vorlie­gend als un­zu­mutbar. Damit kann praxisgemäss auf eine Erörterung der beiden andern Voraus­setzungen eines rechtmäs­si­gen Wegweisungsvollzugs verzichtet werden (vgl. etwa BVGE 2009/51 E. 5.4).</w:t>
      </w:r>
    </w:p>
    <w:p>
      <w:r>
        <w:rPr>
          <w:b/>
        </w:rPr>
        <w:t>E. 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In ihrer vorliegend zu berücksichtigenden Rechtsprechung hatte sich die vormalige ARK in Entscheidungen und Mitteilungen der Schweizerischen Asyl­rekurs­kommission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w:t>
      </w:r>
    </w:p>
    <w:p>
      <w:r>
        <w:rPr>
          <w:b/>
        </w:rPr>
        <w:t>E. 5.2.2</w:t>
      </w:r>
    </w:p>
    <w:p>
      <w:r>
        <w:t>In EMARK 2006 Nr. 9 bestätigte und ergänzte die ARK ihre Recht­sprechung aus dem Jahr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Takhar,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(vgl. EMARK 2006 Nr. 9 E. 7.5.3 und 7.8).</w:t>
      </w:r>
    </w:p>
    <w:p>
      <w:r>
        <w:rPr>
          <w:b/>
        </w:rPr>
        <w:t>E. 5.2.3</w:t>
      </w:r>
    </w:p>
    <w:p>
      <w:r>
        <w:t>Eine Rückkehr in die Provinz Ghazni bezeichnete schon die vormalige ARK - un­abhängig von indivi­duel­len Umständen wie beispielsweise gesund­heit­lichen Beschwerden oder einem fehlenden Beziehungsnetz - als exis­tenz­bedrohend und damit als generell unzumutbar (vgl. hierzu EMARK 2003 Nr. 30 insbesondere E. 7.a).</w:t>
      </w:r>
    </w:p>
    <w:p>
      <w:r>
        <w:rPr>
          <w:b/>
        </w:rPr>
        <w:t>E. 5.3</w:t>
      </w:r>
    </w:p>
    <w:p>
      <w:r>
        <w:t>Das Bundesverwaltungsgericht hat sich dieser Lageeinschätzung an­ge­schlossen und sieht unter Berücksichtigung der jüngsten Entwick­lung in Afghanistan momentan keine Veranlassung, von ihr in Bezug auf die­se oder die erwähnten übrigen Provinzen abzuweichen (vgl. etwa das Urteil E 6008/2006 vom 8. Oktober 2010 E. 5.3 f., mit weiteren Hinweisen). Ob die Gebiete, bei wel­chen mit EMARK 2006 Nr. 9 der Vollzug von Wegweisungen noch als zu­mut­bar bezeichnet worden waren, heute anders beurteilt werden müssten, kann vor­liegend offenbleiben.</w:t>
      </w:r>
    </w:p>
    <w:p>
      <w:r>
        <w:rPr>
          <w:b/>
        </w:rPr>
        <w:t>E. 5.4</w:t>
      </w:r>
    </w:p>
    <w:p>
      <w:r>
        <w:t>Beim Beschwerdeführer handelt es sich offensichtlich um einen Hazara. Er hat seine in der Provinz Ghazni ausgestellte Tazkara im Original zu den Akten gereicht. Das BFM hat in der angefochtenen Verfügung zwar Zweifel an der Echtheit dieses Identitätspapiers geäussert, indessen darauf verzichtet, es als nicht authentisch zu qualifizieren und - in Anwendung von Art. 10 Abs. 4 AsylG - einzuziehen. Unter Würdigung aller aktenkundiger Umstände geht das Bundesverwaltungsgericht davon aus, dass der Beschwerde­füh­rer - wenngleich in der Tat gewisse Unglaubhaftigkeitselemente festzustellen sind (vgl. angefochtene Verfügung S. 3) - mit überwiegender Wahrscheinlichkeit aus der Provinz Ghazni stammt.</w:t>
      </w:r>
    </w:p>
    <w:p>
      <w:r>
        <w:rPr>
          <w:b/>
        </w:rPr>
        <w:t>E. 5.5</w:t>
      </w:r>
    </w:p>
    <w:p>
      <w:r>
        <w:t>Der anzunehmende Herkunftsort des Beschwerdeführers befindet sich damit in ei­ner Provinz, bezüglich welcher der Wegweisungsvollzug nach konstanter Pra­xis des Bundesverwaltungsgerichts als generell unzumutbar zu qualifi­zieren ist. Den Akten sind keine Hinweise auf eine zumutbare innerstaatliche Aufenthaltsalternative zu entnehmen.</w:t>
      </w:r>
    </w:p>
    <w:p>
      <w:r>
        <w:rPr>
          <w:b/>
        </w:rPr>
        <w:t>E. 6</w:t>
      </w:r>
    </w:p>
    <w:p>
      <w:r>
        <w:t>Der Vollzug der Wegweisung des Beschwerdeführers ist somit als un­zumutbar zu bezeichnen. Die Voraussetzungen für die Gewährung der vor­läufigen Aufnahme sind erfüllt, nachdem den Akten keine Hinweise auf Ausschlussgründe gemäss Art. 83 Abs. 7 AuG zu entnehmen sind.</w:t>
      </w:r>
    </w:p>
    <w:p>
      <w:r>
        <w:rPr>
          <w:b/>
        </w:rPr>
        <w:t>E. 7</w:t>
      </w:r>
    </w:p>
    <w:p>
      <w:r>
        <w:t>Die Beschwerde ist somit gutzuheissen. Die Ziffern 4 und 5 des Dis­po­sitivs der angefochtenen Verfügung des BFM vom 5. Dezember 2008 sind aufzuheben und die Vorinstanz ist anzuweisen, den Be­schwer­de­füh­rer vorläufig aufzunehmen.</w:t>
      </w:r>
    </w:p>
    <w:p>
      <w:r>
        <w:rPr>
          <w:b/>
        </w:rPr>
        <w:t>E. 8.1</w:t>
      </w:r>
    </w:p>
    <w:p>
      <w:r>
        <w:t>Bei diesem Ausgang des Verfahrens sind keine Kosten zu erheben (Art. 63 Abs. 1 VwVG). Das Gesuch um Gewährung der unentgeltlichen Prozessführung erweist sich damit als gegenstandslos.</w:t>
      </w:r>
    </w:p>
    <w:p>
      <w:r>
        <w:rPr>
          <w:b/>
        </w:rPr>
        <w:t>E. 8.2</w:t>
      </w:r>
    </w:p>
    <w:p>
      <w:r>
        <w:t>Die Beschwerdeinstanz kann der ganz oder teilweise obsiegenden Partei von Amtes wegen oder auf Begehren hin eine Entschädigung für ihr erwachsene notwendige und verhältnismässig hohe Kosten zusprechen (Art. 64 Abs. 1 VwVG). Nachdem der Beschwerdeführer im Beschwerdeverfahren vor dem Bundesverwaltungsgericht nicht vertreten war, ist nicht davon auszugehen, dass ihm verhältnismässig hohe Parteikosten im Sinn von Art. 64 Abs. 1 VwVG erwachsen sind,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