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E-1578/2015 vom 23. März 2015</w:t>
      </w:r>
    </w:p>
    <w:p>
      <w:r>
        <w:t>Bundesverwaltungsgericht, 2015-03-23, DE</w:t>
      </w:r>
    </w:p>
    <w:p>
      <w:r>
        <w:rPr>
          <w:b/>
        </w:rPr>
        <w:t xml:space="preserve">Quelle: </w:t>
      </w:r>
      <w:r>
        <w:t>https://mcp.opencaselaw.ch/entscheid/bvger_E-1578_2015</w:t>
      </w:r>
    </w:p>
    <w:p>
      <w:r>
        <w:t>FR: TAF E-1578/2015 du 23 mars 2015</w:t>
      </w:r>
    </w:p>
    <w:p>
      <w:r>
        <w:t>IT: TAF E-1578/2015 del 23 marzo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Urteil des Bundesverwaltungsgericht D-3622/2011 vom 8. Oktober 2014 E. 5, zur Publikation vorgesehen).</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eine Vielzahl von Widersprüchen und Elementen der Unglaubhaftigkeit auf. So sei der Beschwerdeführer im Jahr 2009 zum Zeitpunkt der Niederlage der LTTE erst 15 Jahre alt gewesen und daher nicht der potentiell grösste Informationsträger. Ein Verfolgungsmotiv vermöge er nicht darzulegen. Auch sei nicht nachvollziehbar, weshalb er keine Vorsichtsmassnahmen getroffen habe, wenn er gesucht worden sein soll. Ferner seien seine Antworten zur Frage, wie der Onkel von der Suchaktion erfahren habe, widersprüchlich. Die Anzahl der Suchaktionen beziffere er unvereinbar einmal mit sieben bis acht Mal, dann mit über 15 Mal. Widersprüchlich seien sodann die Ausführungen zu den Personen, die ihn festgenommen hätten, zu den Übergriffen während seiner Gefangenschaft und zum letzten Kontakt mit seinen Eltern vor der Abreise. Schliesslich führt die Vorinstanz für den Fall einer Rückkehr aus, dass konkrete Anhaltspunkte für die Annahme einer Gefährdung fehlten. Der Beschwerdeführer habe daher keine begründete Frucht, zukünftig staatlichen Verfolgungsmassnahmen ausgesetzt zu sein.</w:t>
      </w:r>
    </w:p>
    <w:p>
      <w:r>
        <w:rPr>
          <w:b/>
        </w:rPr>
        <w:t>E. 4.2</w:t>
      </w:r>
    </w:p>
    <w:p>
      <w:r>
        <w:t>Der Beschwerdeführer wendet dagegen ein, die Glaubhaftmachung gebe durchaus Raum für gewisse Zweifel. Eltern würden unter Druck gesetzt, indem Kindern Schaden zugefügt werde, was logisch sei. Gefahren würden oft unterschätzt, weshalb ihm nicht vorgehalten werden könne, dass er keine Sicherheitsvorkehrungen getroffen habe. Was den Vorwurf der Widersprüchlichkeit anbelange, so habe die Erstbefragung zwei Tage nach der Einreise des Beschwerdeführers stattgefunden und er sei noch voll unter dem Einfluss der Flucht gestanden. Daher sei es verständlich, dass er nicht in der Lage gewesen sei, eindeutige und widerspruchsfreie Aussagen zu machen. Die Zustände im Gefängnis und die Folterungen stünden im Einklang mit internationalen Berichten. Was die begründete Furcht bei einer Rückkehr anbelange, so müsse er die Ausführungen bezüglich seines Onkels und dessen Hintergrund nicht belegen; überwiegende Wahrscheinlichkeit genüge. Konkrete Anhaltspunkte für die Annahme einer Gefährdung dürften nicht verlangt werden, weil er sonst einen unmöglichen Nachweis erbringen müsste.</w:t>
      </w:r>
    </w:p>
    <w:p>
      <w:r>
        <w:rPr>
          <w:b/>
        </w:rPr>
        <w:t>E. 4.3</w:t>
      </w:r>
    </w:p>
    <w:p>
      <w:r>
        <w:t>Die Beweiswürdigung der Vorinstanz ist nicht zu beanstanden. Sie hat den Massstab des Glaubhaftmachens nicht verkannt und ihn auf den vorliegenden Fall korrekt angewendet. In der angefochtenen Verfügung wird einlässlich begründet, welche Vorbringen im Einzelnen widersprüchlich und unglaubhaft ausgefallen sind. Die Beschwerde hält dem über weite Strecken allgemeine Ausführungen zur Glaubhaftigkeit entgegen. Damit legt der Beschwerdeführer indes nicht dar, inwiefern die vorinstanzliche Beweiswürdigung Bundesrecht verletzen oder zu einer rechtsfehlerhaften Sachverhaltsfeststellung führen soll. Solches lässt sich auch nicht annehmen. Der Einwand des Beschwerdeführers, er sei noch unter dem Eindruck der Flucht gestanden und habe deshalb keine widerspruchsfreien Aussagen machen können, vermag nicht zu überzeugen. Er überzeugt schon aus zeitlichen Gründen nicht. Den Zeitpunkt seiner Haft datiert er auf Anfang 2014 und seine Entlassung auf April 2014, mithin lange vor seiner Ausreise aus Sri Lanka. Ausserdem war er mehrere Tage über Doha und Sao Paulo unterwegs, bevor er in die Schweiz einreiste, und hatte vor seiner Ankunft neun Tage in Sao Paulo übernachtet. Der allgemeine Hinweis auf die Eltern/Kind-Beziehung erklärt nicht, weshalb die angeblichen Verfolger ein gezieltes Interesse an der Person des Beschwerdeführers gehabt haben sollen. Der Hinweis auf die Risikoeinschätzung ändert nichts daran, dass fehlende Vorsichtsmassnahmen als Indiz sehr wohl gegen eine glaubhafte Verfolgung sprechen können. Die Widersprüche vermag er auch sachlich nicht zu entkräften. Entgegen der Beschwerde ist es nicht als "bloss kleiner Unterschied" zu werten, wenn er sich zu den Personen, die ihn angeblich festgenommen haben sollen, widerspricht. Vor allem steht der Widerspruch im Zusammenhang mit weiteren Widersprüchen. Er widerspricht sich zur Haft, zu den angeblichen Vergewaltigungen und zur Anzahl der Suchaktionen, wenn er einmal sieben bis acht Mal gesucht worden sein will, dann aber 15 Mal (insbesondere SEM-Akte, A 22 S. 13). Im Verbund der zahlreichen Ungereimtheiten spricht auch die Tatsache, dass der Beschwerdeführer mit seinem Reisepass und einer Identitätskarte legal aus Sri Lanka ausgereist ist, gegen eine Verfolgung. Um Wiederholungen zu vermeiden, kann auf die vorinstanzlichen Erwägungen verwiesen werden.</w:t>
      </w:r>
    </w:p>
    <w:p>
      <w:r>
        <w:rPr>
          <w:b/>
        </w:rPr>
        <w:t>E. 4.4</w:t>
      </w:r>
    </w:p>
    <w:p>
      <w:r>
        <w:t>Die Vorinstanz erwägt in rechtlicher Hinsicht, dass der Beschwerdeführer bei der Rückkehr - trotz Zugehörigkeit zur tamilischen Ethnie, Landesabwesenheit und Herkunft - keine begründete Furcht habe, staatlichen Verfolgungsmassnahmen ausgesetzt zu sein. Nach Auffassung der Beschwerde dürfen keine konkreten Anhaltspunkte für die Annahme einer Gefährdung verlangt werden. Wohl trifft zu, dass unter Umständen ein vermeintlicher Kontakt zu früheren LTTE-Kämpfern genügen kann, um auf eine Verfolgungsgefahr zu schliessen (vgl. BVGE 2011/24 E. 8.4). Ein solcher Schluss muss sich aber auf eine Tatsachenbasis stützen können, die zumindest glaubhaft gemacht ist. Das ist kein unmöglicher Beweis, was in der Beschwerde verkannt wird. Auf die allgemeinen internationalen Berichte, die sie zitiert, ist nicht weiter einzugehen. Sie sind ohnehin nicht geeignet, eine Gefährdung im konkreten Fall darzutun. Die Vorinstanz geht denn auch zutreffend davon aus, dass die Ausführungen des Beschwerdeführers sowohl zur verwandtschaftlichen Beziehung als auch zum LTTE-Hintergrund des angeblichen Onkels durch nichts belegte Behauptungen sind. Das wird durch das unglaubhafte Aussageverhalten bestätigt. Ebenso nimmt die Vorinstanz richtig an, dass eine konkrete Gefährdung nicht zu ersehen ist, selbst wenn man die Behauptungen für wahr unterstellen wollte. Wenn sie vor diesem Hintergrund annimmt, dem Beschwerdeführer drohe bei einer Rückkehr keine Verfolgungsmassnahmen, verletzt sie kein Bundesrecht. Der Beschwerdeführer vermag etwas anderes nicht darzulegen. Er hat nichts vorgebracht, was geeignet wäre, die Flüchtlingseigenschaft nachzuweisen oder zumindest glaubhaft zu machen. Die Vorinstanz hat das Asylgesuch zu Recht abgelehnt.</w:t>
      </w:r>
    </w:p>
    <w:p>
      <w:r>
        <w:rPr>
          <w:b/>
        </w:rPr>
        <w:t>E. 5</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6.2</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aus den Akten keine konkreten Anhaltspunkte dafür, dass der Beschwerdeführer für den Fall einer Ausschaffung nach Sri Lanka dort mit beachtlicher Wahrscheinlichkeit einer nach Art. 3 EMRK oder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Batticaloa (zur Problematik Vanni-Gebiet und Zumutbarkeit der Wegweisung: BVGE 2011/24 E. 12-13). Seine Herkunft aus Batticaloa ist mit der eingereichten originalen Identitätskarte belegt. Er kann sich dort oder beispielsweise in Colombo niederlassen. Im Übrigen handelt es sich in der Person des Beschwerdeführers um einen jungen Mann in bestem Arbeitsalter mit guter Schulbildung, einem Beziehungsnetz in Sri Lanka und einer Familie vor Ort (Eltern, jüngerer Bruder und Tante, alle wohnhaft in Batticaloa). Der Vollzug der Wegweisung erweist sich als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AsylG; Art. 49 VwVG).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Beschwerdeurteil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