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E-1577/2024 vom 29. Februar 2024</w:t>
      </w:r>
    </w:p>
    <w:p>
      <w:r>
        <w:t>Bundesverwaltungsgericht, 2024-02-29, DE</w:t>
      </w:r>
    </w:p>
    <w:p>
      <w:r>
        <w:rPr>
          <w:b/>
        </w:rPr>
        <w:t xml:space="preserve">Quelle: </w:t>
      </w:r>
      <w:r>
        <w:t>https://mcp.opencaselaw.ch/entscheid/bvger_E-1577_2024_d20240229</w:t>
      </w:r>
    </w:p>
    <w:p>
      <w:r>
        <w:t>FR: TAF E-1577/2024 du 29 février 2024</w:t>
      </w:r>
    </w:p>
    <w:p>
      <w:r>
        <w:t>IT: TAF E-1577/2024 del 29 febbraio 2024</w:t>
      </w:r>
    </w:p>
    <w:p>
      <w:pPr>
        <w:pStyle w:val="Heading2"/>
      </w:pPr>
      <w:r>
        <w:t>Regeste</w:t>
      </w:r>
    </w:p>
    <w:p>
      <w:r>
        <w:t>Asyl und Wegweisung (beschleunigtes Verfahren) | Asyl und Wegweisung (beschleunigtes Verfahren); Verfügung des SEM vom 29.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minderjährig, weshalb seine Prozessfähig- keit als Korrelat der Handlungsfähigkeit von Amtes wegen nach den ein- schlägigen zivilrechtlichen Vorschriften zu beurteilen ist (vgl. bereits Ent- scheidungen und Mitteilungen der Schweizerischen Asylrekurskommission [EMARK] 1996 Nr. 3 E. 2b). Die Prozessfähigkeit setzt die Urteilsfähigkeit und Volljährigkeit voraus (Art. 13 ZGB). Urteilsfähig ist jeder, dem es nicht wegen seines Kindesalters oder infolge anderer Umstände an der Fähig- keit mangelt, vernunftgemäss zu handeln (Art. 16 ZGB). Aufgrund seiner Minderjährigkeit ist der Beschwerdeführer zwar grundsätzlich handlungs- unfähig im Sinne von Art. 17 ZGB. Gemäss Art. 19c Abs. 1 ZGB üben ur- teilsfähige handlungsunfähige Personen aber die Rechte, die ihnen um ih- rer Persönlichkeit willen zustehen selbständig aus. Nach Lehre und Praxis gelten sowohl die Einreichung eines Asylgesuchs als auch die Ergreifung von in diesem Kontext stehenden Rechtsmitteln als solche höchstpersön- liche Rechte (vgl. BVGE 2011/39 E. 4.3.2). Vorliegend ist von der Urteilsfähigkeit des Beschwerdeführers auszuge- hen. Anhaltspunkte, die zu einem anderen Schluss führen könnten, finden sich in den Akten nicht. Die Befragungsprotokolle vermitteln den Eindruck, der Beschwerdeführer sei sich über den Gehalt der an ihn gerichteten Fra- gen im Klaren gewesen, habe sachbezogen geantwortet und sich bei der Darlegung der Asylgründe sowie seiner persönlichen Verhältnisse von ver- nünftigen Überlegungen leiten lassen. Darüber hinaus wurde er sowohl bei der EB UMA als auch bei der Anhörung zu seinen Asylgründen von einer</w:t>
      </w:r>
    </w:p>
    <w:p>
      <w:r>
        <w:t>E-1577/2024 Seite 6 rechtskundigen Vertrauensperson (der ihm zugewiesenen Rechtsvertre- tung) begleitet. Im Übrigen wird seine Urteilsfähigkeit denn auch nicht be- stritten.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in der angefochtenen Verfügung im Wesentlichen aus, die Vorbringen hielten den Anforderungen an die Flüchtlingseigen- schaft gemäss Art. 3 AsylG nicht stand. Die geltend gemachten Nachteile gingen in ihrer Hinsicht nicht über Nachteile hinaus, welche weite Teile der</w:t>
      </w:r>
    </w:p>
    <w:p>
      <w:r>
        <w:t>E-1577/2024 Seite 7 kurdischen Bevölkerung in der Türkei in ähnlicher Weise treffen könnten. So hätten sich die vom Beschwerdeführer geschilderten Vorkommnisse in den letzten zwei Jahren ereignet. Bezüglich der geltend gemachten erlitte- nen Verletzungen durch die Verfolgung der Kinder sei nicht klar, weshalb die Kinder ihn verfolgt hätten. Er vermute lediglich, dass er wegen seiner kurdischen Ethnie verfolgt worden sei. Auch sei ihm nicht klar, weshalb er auf einem Polizeiposten befragt worden sei. Es gehe aus den Schilderun- gen nicht hervor, dass diese Befragung durch die Polizei für den Beschwer- deführer Nachteile zur Folge gehabt hätte. Er habe danach keinen weiteren Kontakt mit der Polizei oder den Behörden gehabt. Der Ausschluss aus dem Verein erreiche ebenfalls nicht die erforderliche Intensität, weswegen er sich einzig durch die Flucht ins Ausland habe der Situation entziehen können; dies insbesondere, da er nach dem Vereinsausschluss keine wei- teren Nachteile erlitten und den Kontakt zu seinen Fussballfreunden abge- brochen habe. Auch habe das Verhalten von einigen Lehrern und Schülern kein solches Ausmass angenommen, dass ihm ein menschenwürdiges Le- ben in der Türkei verwehrt gewesen wäre. Gleiches gelte für die Vorbringen die den Onkel beträfen. Die erforderliche Intensität werde auch nicht in der Gesamtschau der Erlebnisse erreicht, zumal sich diese einerseits über ei- nen Zeitraum von ungefähr zwei Jahren erstreckten, und andererseits in ihrer Ausprägung ebenfalls nicht geeignet seien, eine Verfolgungssituation mit ernsthaften Nachteilen darzustellen, die einen Verbleib in der Türkei verunmöglichen oder unzumutbar erschweren würden.</w:t>
      </w:r>
    </w:p>
    <w:p>
      <w:r>
        <w:rPr>
          <w:b/>
        </w:rPr>
        <w:t>E. 4.2</w:t>
      </w:r>
    </w:p>
    <w:p>
      <w:r>
        <w:t>Der Beschwerdeführer macht in seiner Beschwerde – nebst allgemei- nen Ausführungen zur politischen Situation in der Türkei und theoretischen Ausführungen zum Kindeswohl – geltend, das Vorgebrachte vermöge den Anforderungen an Art. 3 sowie Art. 7 AsylG zu genügen. Er habe sich, wenn auch nicht stark, für die Politik engagiert, weswegen er immer unter Druck gesetzt worden sei und die Schule habe abbrechen müssen. Auf- grund seiner Verwandtschaft zu seinem Onkel sowie des Zeigens des «Vic- tory-Zeichens» während der Nationalhymne bei einem Fussballspiel sei gegen ihn ein Ermittlungsverfahren wegen Betreibens von Propaganda zu- gunsten einer Terrororganisation (gemeint sei die PKK) eröffnet worden. Er habe nicht mehr in Sicherheit leben können, da der psychische Druck durch Private und die Polizei eine unerträgliche Dimension angenommen habe. Er sei «ein paar Mal» durch die türkische Polizei auf den Polizeipos- ten mitgenommen worden. Jedes Mal sei er belästigt, behelligt und einge- schüchtert worden, weshalb ein unerträglicher psychischer Druck im Sinne von Art. 3 Abs. 2 AsylG entstanden sei. Es müsse davon ausgegangen werden, dass die meisten Personen in einer ähnlichen Situation ebenfalls</w:t>
      </w:r>
    </w:p>
    <w:p>
      <w:r>
        <w:t>E-1577/2024 Seite 8 geflüchtet wären. Er sei aufgrund seiner politischen Aktivitäten und wegen seines Onkels bei der PKK, der durch die türkischen Behörden getötet wor- den sei, den türkischen Behörden «gut bekannt», weshalb er «in den letz- ten Wochen und Monaten» ständigen Repressionen ausgesetzt gewesen sei. Es müsse von einer Reflexverfolgung im Sinne von Art. 3 AsylG aus- gegangen werden. Im Übrigen treffe das Vorbringen der Vorinstanz, die türkischen Behörden seien sowohl schutzfähig als auch schutzwillig, nicht zu. Der Schutzwille der türkischen Behörden sei nicht vorhanden, weil gegen ihn bereits ein Strafverfahren eingeleitet worden sei.</w:t>
      </w:r>
    </w:p>
    <w:p>
      <w:r>
        <w:rPr>
          <w:b/>
        </w:rPr>
        <w:t>E. 4.3</w:t>
      </w:r>
    </w:p>
    <w:p>
      <w:r>
        <w:t>Die Vorinstanz führt anlässlich der Vernehmlassung aus, der Darstel- lung des Beschwerdeführers könne nicht gefolgt werden. Aus der Anhö- rung ergebe sich in keiner Weise, dass der Druck in den letzten Wochen oder Monaten vor der Ausreise zugenommen hätte (mit Verweis auf die Ausführungen in F21, F77, F78, F80 des Anhörungsprotokolls; SEM-Akte […]-19/11 und unter Hinweis darauf, dass der Vereinsausschluss gemäss Beweismittel am […] 2023 erfolgt sei). Die Situation in der Schule sei – wie bereits in der erstinstanzlichen Verfügung dargelegt – nicht geeignet, um einen unerträglichen psychischen Druck zu bewirken. Der Beschwerdeführer stelle sich in der Beschwerde als politisch verhält- nismässig aktiven Menschen dar. Zwar habe er dazu in der Anhörung ei- nige Aussagen gemacht (mit Verweis auf das Anhörungsprotokoll, SEM- Akte […]-19/11 F46, F48, F51, F52 f., F49–51, F63–65). Diese liessen aber weiterhin darauf schliessen, dass er lediglich niederschwellig politisch aktiv gewesen sei. Das eingereichte Dankschreiben des Kreisvorsitzenden der DEM-Partei müsse als Gefälligkeitsschreiben qualifiziert werden, zumal darin seine rege Unterstützung bei Parteitätigkeiten, Meetings, Sport- und Folklorever- anstaltungen verdankt werde. Dies sei aufgrund der vom Beschwerdefüh- rer geschilderten Aktivitäten nicht nachvollziehbar, insbesondere, da er ge- mäss eigenen Angaben bei diesen Veranstaltungen (von seinem Freund abgesehen) keine anderen Menschen gekannt habe. Im Ausschlussbericht des Fussballvereins werde davon gesprochen, dass der Beschwerdeführer nicht an der Schweigeminute teilgenommen habe, das Peace-Zeichen gemacht und die kurdischen Fahnen geschwenkt habe. Er habe jedoch lediglich angegeben, das kurdische Zeichen</w:t>
      </w:r>
    </w:p>
    <w:p>
      <w:r>
        <w:t>E-1577/2024 Seite 9 gemacht zu haben; weitergehende Aktionen habe er nicht erwähnt. Es sei nicht nachzuvollziehen, weshalb er nie erwähnt habe, die kurdischen Fah- nen geschwenkt zu haben. Unter diesem Aspekt müssten auch die auf Beschwerdeebene nachge- reichten Dokumente (Vorführbefehl und Entscheid des 1. Friedensgerich- tes) betrachtet werden. Der Beschwerdeführer habe keine inhaltlichen Er- klärungen zu diesen Dokumenten gemacht. Abgesehen von der Nennung des Delikts wiesen diese Dokumente keinen materiellen Inhalt auf, sondern bestünden aus standardisierten Bausteinen, weshalb sie keinen Rück- schluss auf das dem Beschwerdeführer konkret vorgeworfene Vergehen zuliessen. Sie verfügten darüber hinaus über keinerlei (verifizierbare) Si- cherheitsmerkmale und liessen sich daher sehr einfach fälschen, weshalb ihnen ein geringer Beweiswert zukomme. Der Beschwerdeführer habe zu- dem keinerlei Vorbringen dargelegt, welche zur Annahme führten, es könne ein Verfahren gegen ihn aufgenommen werden. Es erstaune weiter, dass die zwei eingereichten Dokumente auf den 5. Februar 2024 datierten, er in der Anhörung vom 20. Februar 2024 davon aber anscheinend keiner- lei Kenntnis gehabt habe (vgl. SEM-Akte […]-19/11 F87). Zwar sei es, wie in der Beschwerde erwähnt werde, durchaus möglich, als Kind eine Ge- fängnisstrafe zu erhalten. Die Hürden für eine Untersuchungshaft eines Kindes respektive einen Haftbefehl gegen dieses auszustellen, sei aber – gemäss Kenntnissen der Vorinstanz – ungleich höher als bei Erwachse- nen. Derzeit liege jedenfalls ein Vorführbefehl lediglich zwecks Einver- nahme vor, weswegen nicht von einer Inhaftierung ausgegangen werden könne. Gemäss den nachgereichten Beweismitteln sei ein Ermittlungs-/Untersu- chungsverfahren wegen «Propaganda für eine Terrororganisation» gegen den Beschwerdeführer eingeleitet worden. Zudem liege ein Vorführbefehl gegen ihn vor. Die vorliegenden Beweismittel zeigten demgegenüber nicht auf, dass gegen den Beschwerdeführer ein Gerichtsverfahren eröffnet wor- den sei. Es sei darauf hinzuweisen, dass in der Türkei Ermittlungs-/Unter- suchungsverfahren oft in teils hoher Zahl eingeleitet, aber häufig auch wie- der eingestellt würden. Vor diesem Hintergrund sei zum jetzigen Zeitpunkt offen, ob die Ermittlungen in absehbarer Zeit überhaupt zu einer Eröffnung eines Gerichtsverfahrens oder einer späteren Verurteilung des Beschwer- deführers aus einem flüchtlingsrechtlich relevanten Motiv führen würden. Es könne daher offenbleiben, ob es sich um echte Verfahrensdokumente handle. Beim nachgereichten Vorführbefehl handle es sich zudem formell</w:t>
      </w:r>
    </w:p>
    <w:p>
      <w:r>
        <w:t>E-1577/2024 Seite 10 nicht um einen Haftbefehl, sondern um einen Vorführbefehl, dessen Zweck es sei, den Beschwerdeführer einzuvernehmen. Ein potentielles Risikoprofil aufgrund der Aussagen des Beschwerdefüh- rers in der Anhörung sei nicht ersichtlich. So sei er immer noch recht jung, und bislang für die DEM-Partei politisch nur sehr niederschwellig aktiv. Ent- sprechend werde er von den türkischen Behörden kaum als Bedrohung wahrgenommen. Auch die Verwandtschaft mit seinem Onkel vermöge nicht zu einem potentiellen Risikoprofil zu führen.</w:t>
      </w:r>
    </w:p>
    <w:p>
      <w:r>
        <w:rPr>
          <w:b/>
        </w:rPr>
        <w:t>E. 4.4</w:t>
      </w:r>
    </w:p>
    <w:p>
      <w:r>
        <w:t>Der Beschwerdeführer bringt in der Replik vor, es treffe nicht zu, dass die türkischen Behörden ihn «kaum als Bedrohung» sehen würden. Der jetzige Präsident Erdogan habe bereits im Jahr 2006 gesagt, egal ob Kin- der oder Frauen, die Sicherheitskräfte würden das tun, was sie für nötig hielten. Bei damals stattfindenden Demonstrationen seien sechs Kinder durch die türkische Polizei getötet worden. Es sei sicherlich auch der Vor- instanz bekannt, dass gegen viele kurdische Kinder wegen der Unterstüt- zung oder des Betreibens von Propaganda zugunsten des Terrorismus Strafverfahren eröffnet worden seien und noch immer zahlreiche Kinder in türkischen Gefängnissen sässen, weil sie Flugblätter politischen Inhalts verteilt oder an einer Demonstration die Polizei mit Steinen beworfen hät- ten. Auch seien Kinder wegen der Unterstützung des Terrorismus verurteilt worden, weil sie das Victory-Zeichen gemacht hätten. Seine Familie sei – auch wenn sein Onkel im August 2015 getötet worden sei – den türkischen Behörden bekannt, weshalb nicht nachvollziehbar sei, dass die Vorinstanz dieses Ereignis als nicht asylrelevant bezeichne. Die Behauptung, es handle sich beim Schreiben der DEM-Partei um ein Gefälligkeitsschreiben und die eingereichten Beweismittel seien «leicht fälschbar», träfen nicht zu. Es sei nicht richtig, dass die Vorinstanz alle Do- kumente pauschal als «leicht fälschbar» oder «leicht käuflich» bezeichne. Ferner sei er noch im Kindsalter, weshalb nicht erwartet werden könne, dass er alles für das Asylgesuch Wesentliche zu Protokoll gebe.</w:t>
      </w:r>
    </w:p>
    <w:p>
      <w:r>
        <w:rPr>
          <w:b/>
        </w:rPr>
        <w:t>E. 5.1</w:t>
      </w:r>
    </w:p>
    <w:p>
      <w:r>
        <w:t>Das Bundesverwaltungsgericht gelangt in Übereinstimmung mit der Vorinstanz zum Schluss, dass die Vorbringen des Beschwerdeführers den Anforderungen an die Flüchtlingseigenschaft gemäss Art. 3 AsylG nicht standhalten. Zur Vermeidung von Wiederholungen wird auf die zutreffen- den Ausführungen der Vorinstanz in der angefochtenen Verfügung (vgl.</w:t>
      </w:r>
    </w:p>
    <w:p>
      <w:r>
        <w:t>E-1577/2024 Seite 11 SEM-Akte […]-25/11) sowie der Vernehmlassung verwiesen (vgl. auch die Zusammenfassungen in den E. 4.1 und 4.3 oben).</w:t>
      </w:r>
    </w:p>
    <w:p>
      <w:r>
        <w:rPr>
          <w:b/>
        </w:rPr>
        <w:t>E. 5.1.1</w:t>
      </w:r>
    </w:p>
    <w:p>
      <w:r>
        <w:t>Zunächst ist festzuhalten, dass ein Grossteil der Vorbringen auf Prob- leme mit Drittpersonen zurückzuführen sind (Probleme mit anderen Kin- dern/Mitschülern und Lehrpersonen, Ausschluss aus dem Fussballverein), die erst dann flüchtlingsrechtlich relevant sind, wenn der Staat unfähig oder nicht willens ist, Schutz vor einer solchen Verfolgung zu bieten. In der Tür- kei ist grundsätzlich von einer funktionierenden und effizienten Schutz- infrastruktur auszugehen (vgl. Urteil des BVGer E-150/2024 vom 18. Ja- nuar 2024 E. 6.2.1). Weder den Akten noch den Vorbringen auf Beschwer- deebene lässt sich entnehmen, dass der Beschwerdeführer (aktiv) um Schutz ersucht hat und ihm dieser verweigert wurde. Das unsubstantiierte Beschwerdevorbringen, die türkischen Behörden seien schutzfähig, nicht aber schutzwillig (vgl. Beschwerde S. 7), ist denn auch nicht geeignet, das Gegenteil zu beweisen.</w:t>
      </w:r>
    </w:p>
    <w:p>
      <w:r>
        <w:rPr>
          <w:b/>
        </w:rPr>
        <w:t>E. 5.1.2</w:t>
      </w:r>
    </w:p>
    <w:p>
      <w:r>
        <w:t>Hinweise auf eine begründete Furcht vor einer asylrelevanten Re- flexverfolgung ergeben sich ebenfalls weder aus den Akten noch aus den Beschwerdevorbringen. Die Familie des Beschwerdeführers weist kein asylrelevantes politisches Profil auf (vgl. SEM-Akte […]-19/11 F86). Der Umstand, dass der Beschwerdeführer wegen seines Onkels von seinen Lehrern und Mitschülern als Terrorist bezeichnet worden sei, vermag eben- falls keine Reflexverfolgung zu begründen, zumal sein Onkel bereits im Jahr 2015 getötet worden sei, die Vorfälle von Drittpersonen begangen wurden (es sich mithin nicht um eine staatliche Verfolgung handelte) und – wie oben festgestellt – die Schutzfähigkeit und der Schutzwille der türki- schen Behörden gegeben ist. Im Übrigen hörten die Schikanen nach dem Abbruch der Schule auf (vgl. SEM-Akte […]-19/11 F17).</w:t>
      </w:r>
    </w:p>
    <w:p>
      <w:r>
        <w:rPr>
          <w:b/>
        </w:rPr>
        <w:t>E. 5.1.3</w:t>
      </w:r>
    </w:p>
    <w:p>
      <w:r>
        <w:t>Die Einvernahmen auf dem Polizeiposten erreichen zudem weder einzeln noch in einer Gesamtschau mit den übrigen Vorbringen eine flücht- lingsrechtlich relevante Intensität im Sinne von Art. 3 AsylG. Der Beschwer- deführer bringt in der Anhörung selbst vor, die Einvernahme, als er unge- fähr (…) Jahre alt gewesen sei, habe keine weiteren Konsequenzen gehabt (vgl. SEM-Akte […]-19/11 F77, F79) und es sei das letzte Mal gewesen, dass er mit der Polizei oder den türkischen Behörden Kontakt gehabt habe (vgl. SEM-Akte […]-19/11 F80). Das Beschwerdevorbringen, er sei jedes Mal, als er auf den Polizeiposten mitgenommen worden sei, belästigt, be- helligt und eingeschüchtert worden (vgl. Beschwerde S. 6), findet in den Akten keine Stütze und widerspricht im Übrigen dem in der Anhörung</w:t>
      </w:r>
    </w:p>
    <w:p>
      <w:r>
        <w:t>E-1577/2024 Seite 12 geltend Gemachten, wonach der Beschwerdeführer mit Freunden auf den Polizeiposten gegangen sei (vgl. SEM-Akte […]-19/11 F66, F72). Zudem gab der Beschwerdeführer während der Anhörung nie an, die Polizei habe ihn belästigt. Eine Schikane brachte er immer nur in Verbindung mit seinen Mitschülern, Mitspielern und Lehrpersonen vor (vgl. SEM-Akte […]-19/11 F6 f., F13, F17–F19, F30, F35, F42, F56). Im Übrigen kann auch vom min- derjährigen Beschwerdeführer erwartet werden, dass er alles für sein Asyl- gesuch Wesentliche in der Anhörung vorbringt. Im Hinblick darauf, dass er in der Lage war, über seine privaten Probleme und die Einvernahmen durch die Polizei zu berichten, wäre somit eine Schilderung allfälliger Be- helligungen, Belästigungen und Einschüchterungen durch die Polizei be- reits in der Anhörung zu erwarten gewesen.</w:t>
      </w:r>
    </w:p>
    <w:p>
      <w:r>
        <w:rPr>
          <w:b/>
        </w:rPr>
        <w:t>E. 5.1.4</w:t>
      </w:r>
    </w:p>
    <w:p>
      <w:r>
        <w:t>Ferner kam die Vorinstanz zutreffend zum Schluss, dass der Be- schwerdeführer kein asylrelevantes politisches Profil aufweist. Ihm gelingt es nicht, auf Beschwerdeebene etwas Gegenteiliges zu belegen, zumal er – sowohl in der Beschwerde als auch in der Replik – seine in der Anhörung geäusserten Vorbringen lediglich unsubstantiiert wiederholt. Zudem gibt er in der Beschwerde selbst an, er habe sich nicht stark für die Politik enga- giert (Beschwerde S. 4). Im Hinblick auf das eben Gesagte ist auch das Beschwerdevorbringen, es sei gegen ihn ein Ermittlungsverfahren wegen Propagandabetreibung zugunsten einer Terrororganisation eröffnet wor- den, nicht geeignet eine flüchtlingsrechtlich relevante Verfolgung aufzuzei- gen. Gemäss dem eingereichten Vorführbefehl handelt es sich um ein Ver- fahren wegen Verdachts auf Propaganda für eine terroristische Organisa- tion gemäss Art. 7 Abs. 2 des türkischen Anti-Terror-Gesetzes. Wie die Vor- instanz in der Vernehmlassung zutreffend ausführte, enthalten die Beweis- mittel keinen materiellen Inhalt; mithin bleibt unklar, welches Vergehen dem Beschwerdeführer überhaupt vorgeworfen wird. Unabhängig davon genügt ein in der Türkei hängiges staatsanwaltschaftliches Ermittlungsverfahren wegen Terrorpropaganda für sich allein genommen nicht zur Anerkennung der Flüchtlingseigenschaft (vgl. Referenzurteil des BVGer E-4103/2024 vom 8. November 2024 E. 8.7.3 und E. 8.8). Die vier kumulativen Voraus- setzungen, unter welchen staatsanwaltschaftliche Ermittlungsverfahren flüchtlingsrechtliche Relevanz entfalten, sind vorliegend zudem eindeutig nicht erfüllt: Das Verfahren befindet sich bereits seit mehr als einem Jahr lediglich im Ermittlungsstadium. Es bleibt somit völlig offen, ob es über- haupt je zu einer Anklage, zur Eröffnung eines Gerichtsverfahrens und ei- ner rechtskräftigen, flüchtlingsrechtlich relevanten Verurteilung respektive Bestrafung des Beschwerdeführers kommen wird (vgl. E-4103/2024 E. 8).</w:t>
      </w:r>
    </w:p>
    <w:p>
      <w:r>
        <w:t>E-1577/2024 Seite 13</w:t>
      </w:r>
    </w:p>
    <w:p>
      <w:r>
        <w:rPr>
          <w:b/>
        </w:rPr>
        <w:t>E. 5.2</w:t>
      </w:r>
    </w:p>
    <w:p>
      <w:r>
        <w:t>Zusammenfassend ergeben sich aus den Akten keine Anhaltspunkte, wonach der Beschwerdeführer im Zeitpunkt seiner Ausreise von flücht- lingsrechtlich relevanten Massnahmen betroffen war oder bei einer Rück- kehr in die Türkei einer flüchtlingsrechtlich relevanten Gefahr ausgesetzt wäre. Die Vorinstanz hat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Die Vorinstanz hält in der angefochtenen Verfügung zum Wegwei- sungsvollzug fest, beim Beschwerdeführer handle es sich um einen grund- sätzlich gesunden, jungen Mann, welcher in der Türkei über ein stabiles Beziehungsnetz verfüge. So sei er zuletzt bei seiner Mutter wohnhaft ge- wesen, der es gesundheitlich gut gehe, weshalb keine Gründe ersichtlich seien, weshalb er nicht ohne weiteres wieder dort leben könne. Seine Schwester wohne bis zum Beginn ihres Studiums ebenfalls dort und die Grosseltern beiderseits lebten im gleichen Dorf. Zudem lebten die meisten Verwandten in D._______ und C._______. Mit seiner Mutter bestehe ein regelmässiger Austausch, weshalb eine Kontaktaufnahme mit ihr ohne</w:t>
      </w:r>
    </w:p>
    <w:p>
      <w:r>
        <w:t>E-1577/2024 Seite 14 weiteres möglich sei um seine Abholung am Flughafen zu organisieren. Es bestünden keine Anhaltspunkte, wonach er bei einer Rückkehr in die Tür- kei nicht erneut auf sein Beziehungsnetz, respektive seine Familie zurück- greifen könne. Anlässlich der Stellungnahme zum Entscheidentwurf habe der Beschwer- deführer geltend gemacht, seine Familie könne sich einen Umzug nicht leisten, da sein Vater (der Versorger der Familie) verstorben sei. Ebenfalls liesse die finanzielle Situation seiner Mutter seine psychologische Behand- lung nicht zu. Diesbezüglich sei festzuhalten, dass sich einige Verwandte in K._______ und D._______ befänden; sein Bruder studiere in E._______. Es sei daher davon auszugehen, dass seine Verwandten ihn aufnehmen würden, damit er dort die Schule besuchen könne, sollte er dies wünschen. Die Behandlung allfälliger gesundheitlicher Probleme sei in der Türkei grundsätzlich gewährleistet. Es sei somit davon auszugehen, dass er auch in der Türkei eine adäquate Behandlung erhalten werde. Er könne ausserdem medizinische Rückkehrhilfe beantragen, womit er in einer ers- ten Phase nach seiner Rückkehr hinsichtlich der Organisation der medizi- nischen Behandlung nicht vor unüberwindbare Schwierigkeiten gestellt sei. Es sei somit insgesamt nicht davon auszugehen, dass er aus individuellen Gründen wirtschaftlicher, sozialer oder gesundheitlicher Natur in eine exis- tenzbedrohende Situation geraten würde. Der Vollzug der Wegweisung er- weise sich als zumutbar.</w:t>
      </w:r>
    </w:p>
    <w:p>
      <w:r>
        <w:rPr>
          <w:b/>
        </w:rPr>
        <w:t>E. 8.2</w:t>
      </w:r>
    </w:p>
    <w:p>
      <w:r>
        <w:t>Der Beschwerdeführer rügt in der Beschwerde eine Verletzung des Kin- deswohls, da die Vorinstanz nicht im Sinne der Kinderrechtskonvention (Übereinkommen über die Rechte des Kindes, KRK; SR 0.107) entschie- den habe.</w:t>
      </w:r>
    </w:p>
    <w:p>
      <w:r>
        <w:rPr>
          <w:b/>
        </w:rPr>
        <w:t>E. 8.3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KÖLZ/HÄNER/</w:t>
      </w:r>
    </w:p>
    <w:p>
      <w:r>
        <w:t>E-1577/2024 Seite 15 BERTSCHI, Verwaltungsverfahren und Verwaltungsrechtspflege des Bun- des, 3. Aufl. 2013, Rz. 1043 m.w.H.). Gemäss Rechtsprechung des Bundesverwaltungsgerichts verpflichten Art. 3 und 22 KRK die asylrechtlichen Behörden, das Kindeswohl im Rah- men der Zumutbarkeitsprüfung als gewichtigen Aspekt zu berücksichtigen. Das SEM ist verpflichtet, vor der Ausschaffung einer unbegleiteten minder- jährigen Person sicherzustellen, dass diese im Rückkehrstaat einem Fami- lienmitglied, einem Vormund oder einer Aufnahmeeinrichtung übergeben werden kann, welche den Schutz des Kindes gewährleistet (Art. 69 Abs. 4 AIG); mithin in der Lage sind, seine Bedürfnisse zu decken. Die dafür not- wendigen konkreten Abklärungen inklusive der allfälligen Übernahmezusi- cherungen einer geeigneten Institution sind vor Erlass einer wegweisenden Verfügung des SEM vorzunehmen respektive einzuholen, damit sie einer gerichtlichen Überprüfung offenstehen. Blosse allgemeine Feststellungen, im Heimat- oder Herkunftsland würden Eltern oder andere Angehörige le- ben oder es gebe in dem betreffenden Land entsprechende Einrichtungen, genügen nicht (vgl. EMARK 1997 Nr. 23 E. 5, 1998 Nr. 13 E. 5e/bb und 2006 Nr. 24 E. 6.2.4, bestätigt in BVGE 2021 VI/3).</w:t>
      </w:r>
    </w:p>
    <w:p>
      <w:r>
        <w:rPr>
          <w:b/>
        </w:rPr>
        <w:t>E. 8.4</w:t>
      </w:r>
    </w:p>
    <w:p>
      <w:r>
        <w:t>Beim Beschwerdeführer handelt es sich unbestrittenermassen um ei- nen unbegleiteten Minderjährigen. Die Vorinstanz ist somit verpflichtet, von Amtes wegen konkret abzuklären, ob die minderjährige Person effektiv bei einem Familienmitglied beziehungsweise – wenn dies nicht möglich oder mit dem Kindeswohl nicht vereinbar ist – anderweitig untergebracht und betreut werden kann. Dieser Pflicht ist die Vorinstanz nicht ausreichend nachgekommen. Bei den Ausführungen der Vorinstanz in der Verfügung handelt es sich nur um Mutmassungen. Zudem hat sie die Gelegenheit, sich auf Beschwerdeebene zum Kindeswohl zu äussern, nicht genutzt. Ob der Beschwerdeführer tatsächlich zur Mutter oder einem anderen Famili- enmitglied zurückkehren kann, bleibt ungeklärt. Zwar hält die Vorinstanz in der Verfügung fest, die Abholung des Beschwerdeführers könne ohne wei- teres organisiert werden, da regelmässiger Kontakt zur Mutter bestehe. Dies ändert aber nichts daran, dass unklar bleibt, ob die Mutter tatsächlich in der Lage ist, den Beschwerdeführer abzuholen und dessen Bedürfnisse zu decken, zumal er eine schwierige finanzielle Situation seiner Mutter so- wie seines familiären Umfelds geltend macht und aus einer vom Erdbeben betroffenen Region stammt (vgl. SEM-Akte […]-24/2; Referenzurteil des BVGer E-1308/2023 vom 19. März 2023 E. 11), womit sich die Vor-instanz ebenfalls nicht in hinreichender Weise auseinandergesetzt hat. Ob darüber hinaus jemand aus der Verwandtschaft in der Lage beziehungs-weise</w:t>
      </w:r>
    </w:p>
    <w:p>
      <w:r>
        <w:t>E-1577/2024 Seite 16 bereit wäre, den Beschwerdeführer aufzunehmen, ergibt sich denn auch nicht aus den Akten und bleibt somit ebenfalls unklar.</w:t>
      </w:r>
    </w:p>
    <w:p>
      <w:r>
        <w:rPr>
          <w:b/>
        </w:rPr>
        <w:t>E. 8.5</w:t>
      </w:r>
    </w:p>
    <w:p>
      <w:r>
        <w:t>Nach dem Gesagten hat die Vorinstanz den Sachverhalt unvollständig festgestellt, indem sie keine Abklärungen bezüglich die für den minderjäh- rigen Beschwerdeführer konkret zu erwartende Unterbringung und Versor- gung in der Türkei getroffen hat und mithin nicht sämtliche für das Kindes- wohl relevanten Kriterien umfassenden gewürdigt hat.</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9.2</w:t>
      </w:r>
    </w:p>
    <w:p>
      <w:r>
        <w:t>Die Beschwerde ist insoweit gutzuheissen, als die angefochtene Ver- fügung in den Dispositivziffern 4 und 5 aufzuheben und die Sache diesbe- züglich zur vollständigen Feststellung des Sachverhalts sowie zur Neube- urteilung im Sinne der Erwägungen an die Vorinstanz zurückzuweisen ist. Die Erstellung des Sachverhalts bedarf weiterer Abklärungen, die den Rah- men des Beschwerdeverfahrens sprengen würden. Zudem ginge dem Be- schwerdeführer bei der Vornahme der Abklärungen durch das Bundesver- waltungsgericht eine Instanz verloren. Die Vorinstanz ist gehalten, die not- wendigen konkreten Abklärungen zur Rückkehr des Beschwerdeführers (unter umfassender Würdigung aller für das Kindeswohl relevanten Krite- rien) in die Türkei im Sinne der Erwägungen zu treffen und ihre Erkennt- nisse in die Verfügung einfliessen zu lassen. Im Übrigen ist die Beschwerde abzuweisen.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w:t>
      </w:r>
    </w:p>
    <w:p>
      <w:r>
        <w:t>E-1577/2024 Seite 17 der Anordnung des Wegweisungsvollzugs hat er obsiegt. Praxisgemäss bedeutet dies ein hälftiges Obsiegen.</w:t>
      </w:r>
    </w:p>
    <w:p>
      <w:r>
        <w:rPr>
          <w:b/>
        </w:rPr>
        <w:t>E. 10.2</w:t>
      </w:r>
    </w:p>
    <w:p>
      <w:r>
        <w:t>Nach dem Gesagten sind die Verfahrenskosten zur Hälfte dem Beschwerdeführer aufzuerlegen (Art. 63 Abs. 1 VwVG) und auf insgesamt Fr. 375.– festzusetzen (Art. 1–3 des Reglements vom 21. Februar 2008 über die Kosten und Entschädigungen vor dem Bundesverwaltungsgericht [VGKE, SR 173.320.2]).</w:t>
      </w:r>
    </w:p>
    <w:p>
      <w:r>
        <w:rPr>
          <w:b/>
        </w:rPr>
        <w:t>E. 10.3</w:t>
      </w:r>
    </w:p>
    <w:p>
      <w:r>
        <w:t>Der teilweise obsiegenden Partei kann von der Beschwerdeinstanz von Amtes wegen oder auf Begehren eine Entschädigung für ihr erwach- sene notwendige und verhältnismässig hohe Kosten zugesprochen wer- den (Art. 64 Abs. 1 VwVG). Dem vertretenen Beschwerdeführer ist ange- sichts seines teilweisen Obsiegens in Anwendung von Art. 64 VwVG und Art. 7 Abs. 1 VGKE eine reduzierte Entschädigung für die ihm notwendi- gerweise erwachsenen Parteikosten zuzusprechen. Es wurde keine Kostennote zu den Akten gereicht, weshalb die notwendi- gen Parteikosten aufgrund der Akten zu bestimmen sind (Art. 14 Abs. 2 in fine VGKE). Die von der Vorinstanz auszurichtende hälftige Parteientschä- digung wird in Anwendung der genannten Bestimmungen und unter Be- rücksichtigung der massgeblichen Bemessungsfaktoren (Art. 9–13 VGKE) demnach von Amtes wegen auf insgesamt Fr. 375.– festgelegt.</w:t>
      </w:r>
    </w:p>
    <w:p>
      <w:r>
        <w:t>(Dispositiv nächste Seite)</w:t>
      </w:r>
    </w:p>
    <w:p>
      <w:r>
        <w:t>E-1577/2024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