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E-1567/2024 vom 19. Dezember 2024</w:t>
      </w:r>
    </w:p>
    <w:p>
      <w:r>
        <w:t>Bundesverwaltungsgericht, 2024-12-19, DE</w:t>
      </w:r>
    </w:p>
    <w:p>
      <w:r>
        <w:rPr>
          <w:b/>
        </w:rPr>
        <w:t xml:space="preserve">Quelle: </w:t>
      </w:r>
      <w:r>
        <w:t>https://mcp.opencaselaw.ch/entscheid/bvger_E-1567_2024</w:t>
      </w:r>
    </w:p>
    <w:p>
      <w:r>
        <w:t>FR: TAF E-1567/2024 du 19 décembre 2024</w:t>
      </w:r>
    </w:p>
    <w:p>
      <w:r>
        <w:t>IT: TAF E-1567/2024 del 19 dicembre 2024</w:t>
      </w:r>
    </w:p>
    <w:p>
      <w:pPr>
        <w:pStyle w:val="Heading2"/>
      </w:pPr>
      <w:r>
        <w:t>Regeste</w:t>
      </w:r>
    </w:p>
    <w:p>
      <w:r>
        <w:t>Asyl und Wegweisung</w:t>
      </w:r>
    </w:p>
    <w:p>
      <w:pPr>
        <w:pStyle w:val="Heading2"/>
      </w:pPr>
      <w:r>
        <w:t>Erwägungen</w:t>
      </w:r>
    </w:p>
    <w:p>
      <w:r>
        <w:rPr>
          <w:b/>
        </w:rPr>
        <w:t>E. 20</w:t>
      </w:r>
    </w:p>
    <w:p>
      <w:r>
        <w:t>August 2024 S. 4 m.w.H.), dass dem Beschwerdeführer auch zuzumuten ist, im Bedarfsfall den Schutz seines Heimatstaates vor nichtstaatlicher Verfolgung auszuschöp- fen, dass es dem Beschwerdeführer somit nicht gelingt, die Flüchtlingseigen- schaft nachzuweisen,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E-1567/2024 Seite 7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in Bezug auf die allgemeine Situation in der Provinz Aydin vollum- fänglich auf die Ausführungen in der angefochtenen Verfügung zu verwei- sen ist, dass der Beschwerdeführer gemäss Aktenlage gesund und im erwerbsfä- higen Alter ist, über mehrjährige Berufserfahrung verfügt und bis zuletzt bei seinen Eltern gelebt hat (vgl. SEM-Akten A16/10 F8 ff.), dass es ihm und seinem Onkel möglich gewesen ist für – laut eigenen An- gaben – jeweils 6000 Dollar in die Schweiz zu reisen, was aufzeigt, dass der Beschwerdeführer aus einer gut situierten Familie stammt (vgl. SEM- Akten A16/10 F48),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E-1567/2024 Seite 8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E-1567/2024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