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E-1567/2021 vom 12. Mai 2021</w:t>
      </w:r>
    </w:p>
    <w:p>
      <w:r>
        <w:t>Bundesverwaltungsgericht, 2021-05-12, DE</w:t>
      </w:r>
    </w:p>
    <w:p>
      <w:r>
        <w:rPr>
          <w:b/>
        </w:rPr>
        <w:t xml:space="preserve">Quelle: </w:t>
      </w:r>
      <w:r>
        <w:t>https://mcp.opencaselaw.ch/entscheid/bvger_E-1567_2021</w:t>
      </w:r>
    </w:p>
    <w:p>
      <w:r>
        <w:t>FR: TAF E-1567/2021 du 12 mai 2021</w:t>
      </w:r>
    </w:p>
    <w:p>
      <w:r>
        <w:t>IT: TAF E-1567/2021 del 12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wies das Asylbegehren der Beschwerdeführerin mit der Begründung ab, ihre Vorbringen vermöchten den Anforderungen an die Glaubhaftigkeit sowie an die Flüchtlingseigenschaft nicht zu genügen. Ihre Ausführungen betreffend die angebliche Suche der türkischen Sicherheitskräfte nach ihr im Oktober 2019 seien widersprüchlich und unsubstanziiert und daher als unglaubhaft zu erachten. Im Weiteren würden sich aus den Akten keine konkreten Hinweise dafür ergeben, dass in der Türkei gegen sie im Zusammenhang mit der FETÖ ein Ermittlungs- oder Strafverfahren eingeleitet worden wäre. Gemäss ihren Aussagen habe die Beschwerdeführerin alle Kontakte zur Gülen-Bewegung abgebrochen, habe keine Familienangehörigen oder nahen Verwandten, die sich bei dieser engagiert hätten, und habe nicht an einer der mit dieser Bewegung in Verbindung stehenden Universitäten studiert. Schliesslich habe sie im (...) 2019 ohne Probleme aus der Türkei aus- und wieder einreisen können. Demnach würden sich aus den Akten keine konkreten Hinweise dafür ergeben, dass ihr von Seiten der türkischen Behörden asylrechtlich relevante Nachteile drohen würden. Bezüglich der vorgebrachten Repressalien durch den ehemaligen Freund F._______ der Beschwerdeführerin sei festzustellen, dass der türkische Staat über eine funktionierende und wirksame Schutzinfrastruktur verfüge und es ihr daher möglich sei, die Unterstützung der türkischen Behörden gegen dessen Übergriffe in Anspruch zu nehmen. Es könne von deren Schutzfähigkeit und -willen ausgegangen werden, und es bestehe kein konkreter Grund zur Annahme. dass ihr die notwendige Unterstützung verweigert worden wäre. Diesem Vorbringen fehle demnach die asylrechtliche Relevanz. Überdies seien die eingereichten Beweismittel nicht geeignet, den behaupteten tätlichen Angriff durch F._______ am (...) 2019 sowie die befürchtete Denunziation der Beschwerdeführerin durch ihn wegen ihrer früheren Tätigkeit für die Gülen-Bewegung zu belegen.</w:t>
      </w:r>
    </w:p>
    <w:p>
      <w:r>
        <w:rPr>
          <w:b/>
        </w:rPr>
        <w:t>E. 5.2</w:t>
      </w:r>
    </w:p>
    <w:p>
      <w:r>
        <w:t>Nach Auffassung des Gerichts ist die Einschätzung der Vorinstanz im Ergebnis zu bestätigen; die Ausführungen in der Beschwerdeeingabe und der ergänzenden Eingabe vom 30. April 2020 sowie die eingereichten Beweismittel vermögen keine andere Einschätzung zu rechtfertigen.</w:t>
      </w:r>
    </w:p>
    <w:p>
      <w:r>
        <w:rPr>
          <w:b/>
        </w:rPr>
        <w:t>E. 5.2.1</w:t>
      </w:r>
    </w:p>
    <w:p>
      <w:r>
        <w:t>Vorab ist festzustellen, dass die verfahrensrechtlichen Rügen der Beschwerdeführerin sich als unberechtigt erweisen: Die Vorinstanz hat sich in der angefochtenen Verfügung mit den wesentlichen Aspekten ihrer Asylvorbringen in gebührender Ausführlichkeit auseinandergesetzt und ihre Schlussfolgerungen hinreichend begründet. Den Akten sind demnach keine Hinweise auf eine relevante Verletzung des rechtlichen Gehörs oder des Anspruchs auf ein faires Verfahren zu entnehmen.</w:t>
      </w:r>
    </w:p>
    <w:p>
      <w:r>
        <w:rPr>
          <w:b/>
        </w:rPr>
        <w:t>E. 5.2.2</w:t>
      </w:r>
    </w:p>
    <w:p>
      <w:r>
        <w:t>Zu Recht wurde in der angefochtenen Verfügung darauf hingewiesen, dass die Ausführungen der Beschwerdeführerin zu den vorgebrachten Erkundigungen der Sicherheitskräfte bei ihren Eltern nach ihr im Jahr 2019 wenig detailliert und uneinheitlich ausgefallen sind und sich deshalb Zweifel an deren Glaubhaftigkeit rechtfertigen. Jedenfalls lassen sich den Akten keine über blosse Vermutungen hinausgehende, stichhaltigen Anhaltspunkte für einen Zusammenhang dieser behördlichen Suche nach ihr mit der von ihr dargelegten früheren Tätigkeit für die Gülen-Bewegung ent-nehmen. Ferner sind keine konkreten Hinweise ersichtlich, dass sie aufgrund dieses Engagements im heutigen Zeitpunkt mit beachtlicher Wahrscheinlichkeit mit Verfolgungsmassnahmen durch die türkischen Behörden zu rechnen hat. Beim Vorbringen, wonach sie von F._______ wegen ihrer Beziehung zur FETÖ denunziert worden sei, handelt es sich um eine unbelegte und unsubstanziierte Vermutung. Diese Einschätzung wird namentlich dadurch untermauert, dass keine weitergehenden Massnahmen der türkischen Sicherheitskräfte - wie die Einleitung von Ermittlungen oder eines Strafverfahrens gegen sie - aktenkundig sind. Nach dem Gesagten hat die Beschwerdeführerin keine begründete Furcht vor Verfolgungsmassnahmen durch die türkischen Behörden glaubhaft dargetan.</w:t>
      </w:r>
    </w:p>
    <w:p>
      <w:r>
        <w:rPr>
          <w:b/>
        </w:rPr>
        <w:t>E. 5.2.3</w:t>
      </w:r>
    </w:p>
    <w:p>
      <w:r>
        <w:t>Im Weiteren ist in Anbetracht der eingereichten Beweismittel - namentlich der Bestätigungsschreiben einer Freundin sowie eines früheren Arbeitgebers zwar als glaubhaft zu erachten, dass die Beschwerde-führerin Opfer von Repressalien durch den früher mit ihr befreundeten F._______ wurde. Diesen Vorbringen ist aber keine asylrechtliche Relevanz beizumessen. Gemäss gefestigter Rechtsprechung des Gerichts kann von der Schutzfähigkeit und dem grundsätzlichen Schutzwillen der türkischen Behörden hinsichtlich des Umgangs mit Gewalt gegen Frauen ausgegangen werden. Das türkische Gesetz Nr. 6284 zum Schutz der Familie und zur Verhütung von Gewalt gegen Frauen aus dem Jahr 2012 zielt auf den Opferschutz und die Anordnung von verschiedenen Sicherheits- und Unterstützungsmassnahmen ab, wobei alle Frauen, einschliesslich der Unverheirateten, vom Schutz umfasst sind. Bei der Revision des türkischen Strafgesetzbuchs im Jahre 2004 sind der Strafrahmen für Strafen bei Taten gegen Frauen erhöht und die Strafmilderungsgründe bei Fällen von Ehrenmord und Vergewaltigung aufgehoben worden (vgl. insbesondere das Referenzurteil des BVGer E-1948/2018 vom 12. Juni 2018, E. 5.2 ff., m.w.H., bestätigt etwa in E-2691/2020 vom 17. Juni 2020 E. 5.2, E-1175/2020 vom 16. März 2020 E. 7.2.2 sowie in E-4377/2019 vom 8. November 2019 E. 6.1). Nach dem Gesagten ist davon auszugehen, dass die Beschwerdeführerin allfälligen zukünftigen Übergriffen von F._______ nicht schutzlos ausgeliefert und ihr die Inanspruchnahme der staatlichen Schutzeinrichtungen und rechtlichen Anlaufstellen in der Türkei zuzumuten wäre. Aus dem Umstand, dass sich gemäss ihrer Darstellung die Polizeibeamten als unzuständig erklärt hätten, als sie im (...) 2017 eine Strafanzeige gegen F._______ habe erstatten wollen, kann nicht auf eine generelle Schutzverweigerung geschlossen werden. Überdies besteht auch kein Grund zur Annahme, dass F._______ eine derart hochrangige Funktion bekleidet beziehungsweise über so viel Einfluss verfügt, dass er sich allfälligen behördlichen Massnahmen entziehen könnte. Die eingereichten Beweismittel, namentlich die Medienberichte, vermögen keine andere Einschätzung zu rechtfertigen.</w:t>
      </w:r>
    </w:p>
    <w:p>
      <w:r>
        <w:rPr>
          <w:b/>
        </w:rPr>
        <w:t>E. 5.2.4</w:t>
      </w:r>
    </w:p>
    <w:p>
      <w:r>
        <w:t>Angesichts der zu bejahenden Schutzfähigkeit der türkischen Behörden kann überdies davon ausgegangen werden, dass die Beschwerde-führerin auch allfälligen Repressalien seitens ihrer Herkunftsfamilie im Zusammenhang mit den Problemen mit ihrem Ehemann nicht schutzlos ausgeliefert wäre.</w:t>
      </w:r>
    </w:p>
    <w:p>
      <w:r>
        <w:rPr>
          <w:b/>
        </w:rPr>
        <w:t>E. 5.2.5</w:t>
      </w:r>
    </w:p>
    <w:p>
      <w:r>
        <w:t>Die von der Beschwerdeführerin vorgebrachten und mit mehreren Berichten belegten psychischen Probleme lassen zwar auf traumatisierende Erlebnisse in der Vergangenheit schliessen und sind somit als Indiz für die Glaubhaftigkeit der geschilderten Übergriffe durch F._______ zu bewerten. Dies ändert aber nichts an der fehlenden asylrechtlichen Relevanz dieses Sachverhaltselements.</w:t>
      </w:r>
    </w:p>
    <w:p>
      <w:r>
        <w:rPr>
          <w:b/>
        </w:rPr>
        <w:t>E. 5.3</w:t>
      </w:r>
    </w:p>
    <w:p>
      <w:r>
        <w:t>Zusammenfassend ist festzuhalten, dass es der Beschwerdeführerin nicht gelungen ist, eine im Sinne von Art. 3 AsylG relevante Verfolgungsgefahr nachzuweisen oder glaubhaft darzutun. Die Vorinstanz hat ihr Asylgesuch demzufolge zu Recht abgelehnt. Gründe für die eventualiter beantragte Rückweisung der Sache an die Vorinstanz sind den Akten nicht zu entnehmen.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Nachdem die Beschwerdeführerin am (...) 2020 einen türkischen Staatsangehörigen mit Niederlassungsbewilligung C geheiratet hat, ist ein grundsätzlicher Anspruch auf Erteilung einer Aufenthaltsbewilligung zu bejahen, weshalb die konkrete Beurteilung des geltend gemachten Anspruchs und damit auch der Entscheid über die Wegweisung - und über allfällige Wegweisungsvollzugshindernisse - in die Zuständigkeit der fremdenpolizeilichen Behörden fällt (EMARK 2001 Nr. 21 E. 8d S. 175 f.).</w:t>
      </w:r>
    </w:p>
    <w:p>
      <w:r>
        <w:rPr>
          <w:b/>
        </w:rPr>
        <w:t>E. 6.3</w:t>
      </w:r>
    </w:p>
    <w:p>
      <w:r>
        <w:t>Unter diesen Umständen hat die Vorinstanz zu Recht auf eine Anordnung der Wegweisung in Anwendung von Art. 44 AsylG verzichtet. Bei dieser Sachlage erübrigen sich Erwägungen zur Durchführbarkeit des Vollzugs einer nicht verfügten Wegweisung. An diesen Feststellungen vermag auch das Vorbringen, die Beschwerdeführerin habe sich mittlerweile von ihrem Ehemann getrennt (vgl. Beschwerde S. 9 f.), nichts zu ändern.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