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E-1567/2007 vom 3. September 2010</w:t>
      </w:r>
    </w:p>
    <w:p>
      <w:r>
        <w:t>Bundesverwaltungsgericht, 2010-09-03, DE</w:t>
      </w:r>
    </w:p>
    <w:p>
      <w:r>
        <w:rPr>
          <w:b/>
        </w:rPr>
        <w:t xml:space="preserve">Quelle: </w:t>
      </w:r>
      <w:r>
        <w:t>https://mcp.opencaselaw.ch/entscheid/bvger_E-1567_2007</w:t>
      </w:r>
    </w:p>
    <w:p>
      <w:r>
        <w:t>FR: TAF E-1567/2007 du 3 septembre 2010</w:t>
      </w:r>
    </w:p>
    <w:p>
      <w:r>
        <w:t>IT: TAF E-1567/2007 del 3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vom 26. Januar 2007 aus, aufgrund des Profils des Be-schwerdeführers bestünden keine konkreten Hinweise für eine begrün-dete Furcht vor zukünftiger asylrelevanter Verfolgung. Einerseits habe das Bundesamt das erste Asylgesuch des Beschwer-deführers im Wesentlichen deshalb abgelehnt, weil dessen Vorbringen zur angeblichen politisch motivierten Verfolgung im Iran weitgehend nicht geglaubt werden könnten, und die ARK habe diese Einschätzung in ihrem Urteil bestätigt. Da der Beschwerdeführer keine Vorverfolgung habe glaubhaft machen können, bestehe auch kein Grund zur Annahme, dass er vor dem Verlassen des Heimatstaates als regime-feindliche Person in das Blickfeld der iranischen Behörden geraten oder dort in irgendeiner Form als Regimegegner oder politischer Akti-vist registriert worden sei. Demzufolge sei auch nicht davon auszu-gehen, dass er seit seiner Ankunft in der Schweiz unter spezieller Beobachtung seitens der iranischen Behörden gestanden hätte. Anderseits habe sich der Beschwerdeführer in den ersten Jahren nach der Einreise in die Schweiz nicht politisch betätigt. Gemäss den ein-gereichten Beweismitteln sei er erst seit Juni 2005, also fast vier Jahre nach der rechtskräftigen Ablehnung seines ersten Asylgesuchs, öffentlich als Aktivist aufgetreten, womit der Zusammenhang mit dem Bestreben, doch noch ein Anwesenheitsrecht zu erlangen, selbst für die iranischen Behörden - sollten sie davon überhaupt Kenntnis er-langt haben - auf der Hand liegen dürfte. Zudem würden die von ihm publizierten Artikel nicht den Eindruck erwecken, hinter diesen stehe als Autor eine Person, die über klar definierte oppositionspolitische Vorstellungen und über ein persönliches Agitationspotential verfüge, welches auch nur ansatzweise zu einer Gefahr für das Regime in Iran werden könnte. Ferner sei bezüglich der Teilnahme des Beschwerde-führers an mehreren Kundgebungen und Standaktionen festzuhalten, dass allein in der Schweiz innert weniger Monate unzählige exilpolitische Anlässe stattfänden, von denen anschliessend gestellte Gruppenaufnahmen von insgesamt Hunderten von Teilnehmern in einschlägigen Internetseiten publiziert würden, so dass es den irani-schen Behörden unmöglich sein dürfte, all diesen, oftmals nicht persönlich identifizierbaren Gesichtern konkrete Namen zuzuordnen. Schliesslich vermöge auch die von ihm bei der Bundesanhörung ange-kündigte und inzwischen mittels Taufbestätigung belegte Konversion zum Christentum keine künftige Gefährdung begründen. Zum einen dürfte diese Konversion den iranischen Behörden nicht bekannt sein, zum anderen habe er selber erklärt, diese habe mit seinem Asyl-gesuch nichts zu tun. Die geltend gemachten subjektiven Nachfluchtgründe hielten somit den Anforderungen an die Flüchtlingseigenschaft gemäss Art. 3 AsylG nicht stand, weshalb der Beschwerdeführer nicht als Flüchtling aner-kannt werde. Da der Beschwerdeführer die Flüchtlingseigenschaft nicht erfülle, kön-ne auch der Grundsatz der Nichtrückschiebung gemäss Art. 5 Abs. 1 AsylG nicht angewendet werden. Ferner würden sich aus den Akten keine Anhaltspunkte dafür ergeben, dass ihm im Falle einer Rückkehr in den Heimatstaat mit beachtlicher Wahrscheinlichkeit eine durch Art. 3 der Konvention zum Schutze der Menschenrechte und Grund-freiheiten vom 4. November 1950 (EMRK, SR 0.101) verbotene Strafe oder Behandlung drohe. Weder die im Heimatstaat des Beschwer-deführers herrschende politische Situation noch andere Gründe wür-den gegen die Zumutbarkeit der Rückführung sprechen. Ausserdem sei der Vollzug der Wegweisung technisch möglich und praktisch durchführbar.</w:t>
      </w:r>
    </w:p>
    <w:p>
      <w:r>
        <w:rPr>
          <w:b/>
        </w:rPr>
        <w:t>E. 3.2</w:t>
      </w:r>
    </w:p>
    <w:p>
      <w:r>
        <w:t>In der Beschwerde wird der Argumentation der Vorinstanz zu-nächst entgegengehalten, dass es im Sommer 2005 im Iran mit der Wahl Ahmadinejads (zum Präsidenten Irans, Anm. BVGer) zu einer Verschärfung der Unterdrückung gekommen sei. Hinzu seien die radi-kaleren Einschränkungen der Grundrechte und die Wahrnehmung des Iran in der Welt auch durch dessen Atomprogramm und verschiedene Konflikte bis hin zu dem im Libanon gekommen. Erst im Laufe dieser Entwicklung habe der Beschwerdeführer realisiert, dass er aus dem Exil gegen das ungeliebte Regime etwas unternehmen könne und müsse. Lese man die Publikationen des Beschwerdeführers, so sei die Auf-fassung der Vorinstanz, hinter diesen stehe keine tiefe politische Überzeugung, nicht haltbar. Er beweise Kenntnis der Geschichte und der Hintergründe im Iran und verfüge als ehemaliger Regierungs-mitarbeiter über einen tieferen Einblick in deren Denkweise. Dies er-höhe das Profil und damit das Interesse der iranischen Regierung an den Aktivitäten des Beschwerdeführers. Zu berücksichtigen sei aus-serdem, dass die Publikation in eigenem Namen in einem Medium, welches bekanntermassen von den iranischen Behörden systematisch ausgewertet werde, ein erhebliches Risiko berge, im Falle einer Rück-kehr verfolgt zu werden. Die Annahme, die heimatlichen Behörden verfügten über das nötige Differenzierungsvermögen, um zu erkennen, dass es sich beim Beschwerdeführer nicht um einen echten poli-tischen Aktivisten handle, sei gewagt und gehe fehl. Die Gegeben-heiten würden zeigen, dass die Geheimdienste lieber einen Mann zu viel inhaftieren und foltern würden, als einen zu wenig. Die Fotos, welche mit dem zweiten Asylgesuch zu den Akten gereicht worden seien, würden in erster Linie dem Beweis dienen, dass der Beschwerdeführer tatsächlich an besagten Aktionen teilgenommen habe. Sie seien nach wie vor im Internet zu sehen und könnten durchaus für eine Identitikation herangezogen werden, doch stelle dies nicht die primäre Gefahr für ihn dar. Viel grösser sei nämlich die Wahrscheinlichkeit, dass sich unter den Teilnehmern solcher Aktionen auch regimegetreue Personen befinden würden, die den iranischen Geheimdiensten respektive den iranischen Vertretungen im Ausland Bericht erstatten würden. Dass Erstere über ein weit verzweigtes Netz von Spitzeln verfüge, sei gerichtsnotorisch. Es möge die Vorinstanz stören, dass es sich um gestellte Gruppenaufnahmen handle, relevant für die Beurteilung der Präsenz des Beschwerdeführers an der ent-sprechenden Aktion sei dies jedoch nicht. Der Beschwerdeführer sei Christ. Er habe erst im Ausland konvertiert. Dieses Abfallen vom Glauben werde im Iran verfolgt. Die Praxis der vormaligen ARK sehe zwar Christen im Iran nicht als systematisch verfolgt an; jedoch differenziere die ARK stets zwischen blossen Gläubigen, die allenfalls ihre Religion im Verborgenen ausüben könnten, und solchen, die den Drang verspüren würden, ihren Glau-ben im Sinne von Missionieren nach aussen zu tragen. Damit ver-gleichbar sei die sehr aktive diakonische Arbeit des Beschwer-deführers im (...). Dieser (...) sei der am meisten ethnisch durchmischte in der Schweiz; es würden sehr viele Iraner dort leben. Die Wahrscheinlichkeit, dass man auch auf sein Engagement für das Christentum aufmerksam geworden sei, sei gross. Zudem würde er wohl auch im Iran nicht mehr seine Überzeugung nur im Verborgenen ausleben können. Daher gebiete der Schutz der Religionsausübung als Grundrecht den Schutz vor Verfolgung wegen sol-cher Betätigung und damit die Flüchtlingseigenschaft im Sinne der Flüchtlingskonvention.</w:t>
      </w:r>
    </w:p>
    <w:p>
      <w:r>
        <w:rPr>
          <w:b/>
        </w:rPr>
        <w:t>E. 4.1</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ff., EMARK 2000 Nr. 16 E. 5a S. 141 f., mit weiteren Hinweisen).</w:t>
      </w:r>
    </w:p>
    <w:p>
      <w:r>
        <w:rPr>
          <w:b/>
        </w:rPr>
        <w:t>E. 4.2.1</w:t>
      </w:r>
    </w:p>
    <w:p>
      <w:r>
        <w:t>Der Beschwerdeführer macht vorliegend mit einem gewissen Nachdruck geltend, er sei in der Schweiz zum Christentum konvertiert. Dazu sei mit Verweis auf das Urteil des Bundesverwaltungsgerichts vom 9. Juli 2009 (D-3357/2006) Folgendes ausgeführt: Die rechtliche Stellung von nicht-muslimischen und muslimischen Per-sonen in der iranischen Gesellschaft ist in der Verfassung sowie in ver-schiedenen Bereichen der Gesetzgebung (Straf- und Zivilgesetzbuch) des Irans festgelegt. Artikel 12 der iranischen Verfassung bestimmt den Islam und spezifisch die schiitische Glaubensschule der Zwölferschia (Hauptströmung der Schiiten, Anm. BVGer) als Staatsreligion. Artikel 13 benennt die vom Staat anerkannten religiösen Minderheiten: Es sind dies die Zoroastrier, die Juden und die Christen. Die erwähn-ten drei Religionsgemeinschaften geniessen innerhalb des gesetzlich-en Rahmens das Recht auf freie Ausübung ihrer religiösen Riten sowie Zeremonien, und ihre Anhängerinnen und Anhänger dürfen sich in persönlichen und glaubensspezifischen Belangen gemäss ihren reli-giösen Vorschriften verhalten. In der Realität stellt sich dies jedoch etwas anders dar. So verlieren beispielsweise die erwähnten religiösen Minderheiten diese Rechte schon beim geringsten Verdacht auf eine sogenannte Verschwörung oder Ausübung anderer Aktivitäten gegen den Islam und die islami-sche Republik Iran. Der im Artikel 13 der iranischen Verfassung genannte Grundsatz der Anerkennung von religiösen Minderheiten wird aber nicht nur im Alltag, sondern auch durch weitere Paragraphen der iranischen Verfassung, des iranischen Strafrechts und des irani-schen Zivilrechts strukturell durchbrochen. So zeigen sich die beste-henden Diskriminierungen der religiösen Minderheiten respektive der Christen insbesondere in wirtschaftlicher, beruflicher und sozialer Hin-sicht. Generell ist festzustellen, dass Nicht-Muslime als Bürger "zwei-ter Klasse" betrachtet werden, was sich in diversen Gesetzen wider-spiegelt respektive deren Schlechterstellung in ehe-, erb- und straf-rechtlichen Angelegenheiten zur Folge hat. Was die Situation der Christen im Speziellen betrifft, so ist anzuführen, dass Angehörige der christlichen Minderheit dem Verbot ausgesetzt sind, ihren Glauben über den Kreis ihrer Familie und ihrer Gemeinde hinaus zu propa-gieren. Diesem Verbot unterliegt auch der Versuch, Moslems zum Christentum zu bekehren. Missionarische Tätigkeit wird als Verstoss gegen allgemein geltenden religiösen Grundprinzipien angesehen und als solche verfolgt. Trotz dieser Feststellungen kann indessen nicht von einer allgemei-nen, allein an das Bekenntnis zum Christentum anknüpfenden Verfol-gungssituation ausgegangen werden. Auch unter dem Gesichtspunkt einer in das religiöse Existenzminimum eingreifenden staatlichen oder dem Staat zurechenbaren Verfolgung lässt sich derzeit eine Gruppen- beziehungsweise Kollektivverfolgung nicht bejahen. Aber der verfas-sungsrechtliche Minoritätenschutz für die Christen im Iran hat sich, wie vorstehend ausgeführt, in der Rechtswirklichkeit nicht in einer auch nur annähernd weitgehenden Freiheit der religiösen Betätigung nieder-geschlagen. Die Ausübung der religiösen Überzeugung und Betätigung für die Christen im Iran bleibt immerhin in bescheidenem Rahmen grundsätzlich gewahrt.</w:t>
      </w:r>
    </w:p>
    <w:p>
      <w:r>
        <w:rPr>
          <w:b/>
        </w:rPr>
        <w:t>E. 4.2.2</w:t>
      </w:r>
    </w:p>
    <w:p>
      <w:r>
        <w:t>Bei einer Konversion im Ausland beziehungsweise in der Schweiz ist zu berücksichtigen, dass solche Übertritte nach den Erkenntnissen der schweizerischen Asylbehörden nicht selten deshalb vorgenommen werden, um sich ein entsprechendes Anwesenheits-recht in der Schweiz beziehungsweise im betreffenden Aufenthaltsland zu erwirken. Ein derartiger "Glaubenswechsel" würde aber nicht ernsthaft und nachhaltig erscheinen, weshalb im Falle einer Rückkehr in den Iran auch nicht mit ernsthaften Nachteilen im Sinne von Art. 3 AsylG gerechnet werden müsste, zumal die diskrete und private Glau-bensausübung dort grundsätzlich möglich ist. Bei Konversionen im Ausland ist daher die religiöse Überzeugung eines Asylgesuchstellers im Einzelfall einer näheren Überprüfung - soweit dies überhaupt möglich ist - zu unterziehen. Mithin vermag eine christliche Glau-bensausübung im Iran dann Massnahmen auslösen, wenn sie hierzulande aktiv und sichtbar nach aussen praktiziert wird und im konkreten Fall davon ausgegangen werden muss, dass das heimatliche Umfeld von einer solchen aktiven, allenfalls gar missionierende Züge annehmenden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w:t>
      </w:r>
    </w:p>
    <w:p>
      <w:r>
        <w:rPr>
          <w:b/>
        </w:rPr>
        <w:t>E. 4.2.3</w:t>
      </w:r>
    </w:p>
    <w:p>
      <w:r>
        <w:t>Vorliegend hat der Beschwerdeführer selber festgestellt, die Konversion zum Christentum habe mit seinem neuerlichen Asylgesuch nichts zu tun. Gleichwohl gilt gemäss dem Untersuchungsgrundsatz, dass im Beschwerdeverfahren vor dem Bundesverwaltungsgericht wie im verwaltungsinternen Verfahren des Bundes der rechtserhebliche Sachverhalt von Amtes wegen festzustellen ist (Art. 12 VwVG). Zusätzliche Abklärungen nimmt die mit der Sache befasste Instanz jedoch nur dann vor, wenn hierzu aufgrund der Parteivorbringen oder anderer sich aus den Akten ergebender Anhaltspunkte hinreichender Anlass dazu besteht. Dies ist vorliegend nicht der Fall. In Berück-sichtigung des Schreibens von Gemeindepfarrer C._____ vom 6. März 2007 geht das Bundesverwaltungsgericht nicht davon aus, der Beschwerdeführer habe sich nur deshalb christlich taufen lassen, um sich dadurch in der Schweiz ein Anwesenheitsrecht sichern zu können. Vielmehr dürfte er tatsächlich aus innerer Überzeugung konvertiert sein. Aufgrund der Akten bleibt aber festzustellen und ist vorliegend von Bedeutung, dass er seinen Glauben nicht in einer missionierenden Art und Weise ausübt - die Mithilfe in der Sozialdia-konie, wie sie im Schreiben von C._____ erwähnt wird, ändert daran nichts -, welche eine Denunzierung beim iranischen Sicherheitsdienst zur Folge hätte.</w:t>
      </w:r>
    </w:p>
    <w:p>
      <w:r>
        <w:rPr>
          <w:b/>
        </w:rPr>
        <w:t>E. 4.3.1</w:t>
      </w:r>
    </w:p>
    <w:p>
      <w:r>
        <w:t>Bezüglich des dargelegten exilpolitischen Engagements des Beschwerdeführers gelangt das Bundesverwaltungsgericht zum Schluss, dass insgesamt auch diesbezüglich keine subjektiven Nachfluchtgründe vorliegen. Die im Rahmen des ersten Asylverfahrens von ihm gel-tend gemachten Probleme konnten nicht glaubhaft gemacht werden, welche Einschätzung von der Beschwerdeinstanz geschützt wurde. Es kann deshalb davon ausgegangen werden, dass er vor dem Verlassen seines Heimatlandes nicht als regimefeindliche Person in das Blickfeld der iranischen Behörden geraten ist. Aus den eingereichten Beweismitteln wird ersichtlich, dass der Be-schwerdeführer sein exilpolitisches Engagement erst im Jahre 2005, also fünf Jahre nach dem ersten Asylgesuch, aufgenommen hat. Das durch diverse Eingaben belegte Engagement bei Standaktionen und Kundgebungen der Iranian Union of Refugees (I:U:R) ist durch meh-rere Fotografien dokumentiert, auf welchen er zu erkennen ist. Daraus und aus den diversen Bestätigungen ist jedoch nicht zu entnehmen, dass er sich bei diesen Kundgebungen besonders und über das Mass anderer Personen hinaus exponiert oder eine herausragende Füh-rungsposition innegehabt hätte. Es ist davon auszugehen, dass sich die iranischen 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sowie potenziell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Behörden. Wie bereits ausgeführt, war der Beschwerdeführer in seinem Heimat-land nicht als politischer Aktivist und Regimegegner bekannt. Seine Rolle bei den Aktionen in der Schweiz, an denen er teilgenommen hat, ging entgegen der auf Beschwerdeebene vertretenen Auffassung nicht über das hinaus, was viele iranische Staatsangehörige im Rahmen exilpolitischer Aktionen tun. Vorliegend gibt es jedenfalls keine Indizien, welche zum Schluss führen würden, der Beschwerdeführer könnte von den iranischen Behörden als politisch exponierte Person und somit als Bedrohung für das politische System im Iran wahrgenommen werden. Es fehlen denn auch jegliche Hinweise dafür, gegen ihn seien im Iran aufgrund seiner exilpolitischen Tätigkeit ein Strafverfahren oder andere behördliche Massnahmen eingeleitet wor-den wären. Zudem dürfte auch den iranischen Behörden aufgefallen sein, dass die exilpolitische Betätigung eines Teils der iranischen Asylbewerber nach der Ablehnung ihrer Asylgesuche regelmässig stark zunimmt respektive intensiver wird oder überhaupt erst ab die-sem Zeitpunkt einsetzt, was das geltend gemachte politische Enga-gement als zweifelhaft erscheinen lässt.</w:t>
      </w:r>
    </w:p>
    <w:p>
      <w:r>
        <w:rPr>
          <w:b/>
        </w:rPr>
        <w:t>E. 4.4</w:t>
      </w:r>
    </w:p>
    <w:p>
      <w:r>
        <w:t>Zusammenfassend ist festzustellen, dass die angegebenen subjektiven Nachfluchtgründe nicht geeignet sind, eine flüchtlings-rechtlich relevante Verfolgungsfurcht zu begründen, weshalb der Be-schwerdeführer nicht als Flüchtling anerkannt werden kann. An dieser Einschätzung vermögen weder die weiteren Ausführungen in der Beschwerde noch die eingereichten Beweismittel etwas zu ändern, weshalb darauf nicht einzugehen ist. Unter Berücksichtigung der ge-samten Umstände folgt, dass der Beschwerdeführer keine Gründe nach Art. 3 AsylG nachweisen oder glaubhaft machen konnte. Das BFM hat somit sein (zweites)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6.2.1</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wenn auch in vielen Bereichen unbefriedigende, Menschenrechtssituation im Iran lässt den Wegweisungsvollzug zum heutigen Zeitpunkt vorliegend nicht als unzulässig erscheinen. Nach dem Gesagten ist der Vollzug der Wegweisung mithin sowohl im Sinne der asyl- als auch der völkerrechtlichen Bestimmungen zulässig.</w:t>
      </w:r>
    </w:p>
    <w:p>
      <w:r>
        <w:rPr>
          <w:b/>
        </w:rPr>
        <w:t>E. 6.3</w:t>
      </w:r>
    </w:p>
    <w:p>
      <w:r>
        <w:t>Gemäss Art. 83 Abs. 4 AuG (in Kraft getreten am 1. Januar 2008)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w:t>
      </w:r>
    </w:p>
    <w:p>
      <w:r>
        <w:rPr>
          <w:b/>
        </w:rPr>
        <w:t>E. 6.3.1</w:t>
      </w:r>
    </w:p>
    <w:p>
      <w:r>
        <w:t>In Bezug auf die allgemeine Lage im Iran erachtet das Bun-desverwaltungsgericht den Wegweisungsvollzug zur Zeit als generell zumutbar. Es herrscht dort zum heutigen Zeitpunkt weder Krieg noch Bürgerkrieg, und es liegt auch nicht eine Situation allgemeiner Gewalt vor. Folgende individuellen Umstände sind jedoch vorliegend bei der Beur-teilung mitzuberücksichtigen: Einerseits ist festzustellen, dass der Be-schwerdeführer bereits seit rund zehn Jahren in der Schweiz lebt. Zwar obliegt die Prüfung einer fortgeschrittenen Integration nicht dem Bundesverwaltungsgericht, aber es bleibt festzustellen, dass eine Entwurzelung aus dem Heimatland hinsichtlich der Zumutbarkeit des Wegweisungsvollzugs ein relevanter Faktor sein kann. Sodann ist auf das belegte, gravierende Krankheitsbild hinzuweisen (vgl. vorstehend im Sachverhalt Bst. L). Unter Berücksichtigung aller genannter Umstände erachtet das Bun-desverwaltungsgericht den Wegweisungsvollzug derzeit als unzumut-bar.</w:t>
      </w:r>
    </w:p>
    <w:p>
      <w:r>
        <w:rPr>
          <w:b/>
        </w:rPr>
        <w:t>E. 6.3.2</w:t>
      </w:r>
    </w:p>
    <w:p>
      <w:r>
        <w:t>Im Übrigen bestehen gemäss Aktenlage keine Gründe für den Ausschluss der vorläufigen Aufnahme gemäss Art. 83 Abs. 7 AuG. Es liegt zwar eine Verurteilung (Bezirksanwaltschaft Hinwil vom 10. Mai 2004) zu einer bedingten 30-tägigen Gefängnisstrafe wegen einfacher Körperverletzung vor. Jedoch ist die genannte Ausnahmeklausel nach der Praxis der vormaligen ARK und nun auch des Bundesverwal-tungsgerichts mit Zurückhaltung und insbesondere unter Beachtung des Verhältnismässigkeitsprinzips anzuwenden (Art. 96 AuG; EMARK 2003 Nr. 3). Die Handlungen müssten eine schwerwiegende Gefähr-dung oder Verletzung der öffentlichen Sicherheit und Ordnung dar-stellen, was bei der Verurteilung zu einer bedingten Freiheitsstrafe von weniger als zwölf Monaten - auch vorliegend - nicht der Fall ist. 1. 7. Die Beschwerde ist nach dem Gesagten bezüglich der Nichtaner-kennung der Flüchtlingseigenschaft und der Anordnung der Wegwei-sung abzuweisen. Soweit die Anordnung des Wegweisungsvollzugs be-treffend, ist die Beschwerde gutzuheissen. Das BFM ist anzuweisen, den Aufenthalt des Beschwerdeführers nach den gesetzlichen Bestim-mungen über die vorläufige Aufnahme zu regeln (Art. 83 Abs. 4 AuG). 2. 8. Bei diesem Verfahrensausgang wäre die Hälfte der Verfahrenskosten dem Beschwerdeführer aufzuerlegen. In Gutheissung des Gesuchs um Gewährung der unentgeltlichen Rechtspflege im Sinne von Art. 65 Abs. 1 VwVG wird jedoch praxisgemäss auf die Auferlegung von Ver-fahrenskosten verzichtet. Das Gesuch um Beiordnung eines unent-geltlichen Rechtsbeistands (Art. 65 Abs. 2 VwVG) wird abgewiesen, da sich das vorliegende Verfahren weder in tatsächlicher noch in rechtli-cher Hinsicht als besonders komplex erwiesen hat. 3. 8.1 Obsiegende Parteien haben Anspruch auf eine Parteientschädi-gung für die ihnen erwachsenen notwendigen und verhältnismässig hohen Kosten (Art. 7 Abs. 1 und 4 des Reglements vom 21. Februar 2008 über die Kosten und Entschädigungen vor dem Bundesverwal-tungsgericht [VGKE, SR 173.320.2]). Im vorliegenden Fall ist der Be-schwerdeführer mit seinen Begehren im Sinne eines hälftigen Obsie-gens durchgedrungen.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wird die von der Vorinstanz auszurichtende Parteientschädigung demnach von Amtes wegen auf insgesamt Fr. 800.-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