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E-1560/2022 vom 2. März 2022</w:t>
      </w:r>
    </w:p>
    <w:p>
      <w:r>
        <w:t>Bundesverwaltungsgericht, 2022-03-02, DE</w:t>
      </w:r>
    </w:p>
    <w:p>
      <w:r>
        <w:rPr>
          <w:b/>
        </w:rPr>
        <w:t xml:space="preserve">Quelle: </w:t>
      </w:r>
      <w:r>
        <w:t>https://mcp.opencaselaw.ch/entscheid/bvger_E-1560_2022_d20220302</w:t>
      </w:r>
    </w:p>
    <w:p>
      <w:r>
        <w:t>FR: TAF E-1560/2022 du 2 mars 2022</w:t>
      </w:r>
    </w:p>
    <w:p>
      <w:r>
        <w:t>IT: TAF E-1560/2022 del 2 marzo 2022</w:t>
      </w:r>
    </w:p>
    <w:p>
      <w:pPr>
        <w:pStyle w:val="Heading2"/>
      </w:pPr>
      <w:r>
        <w:t>Regeste</w:t>
      </w:r>
    </w:p>
    <w:p>
      <w:r>
        <w:t>Asyl (ohne Wegweisungsvollzug) | Asyl (ohne Wegweisungsvollzug); Verfügung des SEM vom 2. März 2022</w:t>
      </w:r>
    </w:p>
    <w:p>
      <w:pPr>
        <w:pStyle w:val="Heading2"/>
      </w:pPr>
      <w:r>
        <w:t>Erwägungen</w:t>
      </w:r>
    </w:p>
    <w:p>
      <w:r>
        <w:rPr>
          <w:b/>
        </w:rPr>
        <w:t>E. 1.1</w:t>
      </w:r>
    </w:p>
    <w:p>
      <w:r>
        <w:t>Gemäss Art. 31 VGG ist das Bundesverwaltungsgericht zur Beur- teilung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E-1560/2022 Seite 5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Die vom Beschwerdeführer erhobenen formellen Rügen sind vorab zu be- handeln, da sie geeignet sein könnten, eine Kassation der vorinstanzlichen Verfügung zu bewirken.</w:t>
      </w:r>
    </w:p>
    <w:p>
      <w:r>
        <w:rPr>
          <w:b/>
        </w:rPr>
        <w:t>E. 3.1</w:t>
      </w:r>
    </w:p>
    <w:p>
      <w:r>
        <w:t>Der Beschwerdeführer rügt zunächst eine unvollständige Sachver- haltsfeststellung. Die Vorinstanz habe es unterlassen, eine spezifische An- hörung zum Aspekt des Menschenhandels durchzuführen. Indes legt er nicht ansatzweise dar, aus welchen Gründen in casu ein Fall von Men- schenhandel vorliegen soll. Solches ist auch nicht ersichtlich. Die erhobene Rüge ist unbegründet.</w:t>
      </w:r>
    </w:p>
    <w:p>
      <w:r>
        <w:rPr>
          <w:b/>
        </w:rPr>
        <w:t>E. 3.2</w:t>
      </w:r>
    </w:p>
    <w:p>
      <w:r>
        <w:t>Weiter rügt er eine Verletzung der Begründungspflicht, indem die Vor- instanz den Sachverhalt unzulässig verkürzt sowie die Gesamtheit aller Vorfälle beim Intensitätserfordernis ausser Acht gelassen habe.</w:t>
      </w:r>
    </w:p>
    <w:p>
      <w:r>
        <w:rPr>
          <w:b/>
        </w:rPr>
        <w:t>E. 3.3</w:t>
      </w:r>
    </w:p>
    <w:p>
      <w:r>
        <w:t>Neben dem Anspruch auf sorgfältige Abklärung des rechtserheblichen Sachverhalts (Art. 12 VwVG) haben gemäss Art. 29 VwVG die Parteien Anspruch auf rechtliches Gehör, welches als Mitwirkungsrecht alle Befug- nisse umfasst, die einer Partei einzuräumen sind, damit sie in einem Ver- fahren ihren Standpunkt wirksam zur Geltung bringen kann (vgl. BGE 144 I 11 E. 5.3; BVGE 2009/35 E. 6.4.1). Mit dem Gehörsanspruch korreliert die Pflicht der Behörden, die Vorbringen tatsächlich zu hören, ernsthaft zu prüfen und in ihrer Entscheidfindung angemessen zu berück- sichtigen, was sich entsprechend in einer sachgerecht anfechtbaren Entscheidbegründung niederzuschlagen hat (Art. 29 Abs. 2 BV; Art. 29, Art. 32 Abs. 1 und Art. 35 Abs. 1 VwVG). Die Begründung muss kurz die wesentlichen Überlegungen nennen, von denen sich die Behörde hat leiten lassen und auf die sich ihr Entscheid stützt. Dabei kann sie sich auf die für den Entscheid wesentlichen Punkte beschränken (BGE 143 III 65 E. 5.2). Mit dem Beschwerdeführer ist festzustellen, dass die Vorinstanz in der an- gefochtenen Verfügung trotz korrekter Erwähnung unter der Sachverhalts-</w:t>
      </w:r>
    </w:p>
    <w:p>
      <w:r>
        <w:t>E-1560/2022 Seite 6 feststellung (Ziffer I der angefochtenen Verfügung) in der Begründung ein- zig auf die Vergewaltigung und nicht auch auf die bereits zuvor ergangenen sexuellen Belästigungen eingegangen ist. Damit hat sie die ihr obliegende Begründungspflicht verletzt. Indem die Vorinstanz in der Vernehmlassung dazu hinreichend Stellung genommen hat, dem Beschwerdeführer an- schliessend diesbezüglich mit Instruktionsverfügung vom 22. Juni 2022 das rechtliche Gehör gewährt wurde, liegt keine schwerwiegende Verlet- zung vor. Dies namentlich auch deshalb, weil vorliegend die fehlende Ent- scheidreife mit vertretbaren Aufwand hergestellt werden kann und das Bundesverwaltungsgericht freie Überprüfungsbefugnis zukommt. Die fest- gestellte Verletzung gilt daher als geheilt (vgl. BGE 142 II 218 E. 2.8.1, BVGE 2014/22 E. 5.3 m.w.H.).</w:t>
      </w:r>
    </w:p>
    <w:p>
      <w:r>
        <w:rPr>
          <w:b/>
        </w:rPr>
        <w:t>E. 3.4</w:t>
      </w:r>
    </w:p>
    <w:p>
      <w:r>
        <w:t>Für eine Rückweisung der Sache besteht demnach keine Veranlas- sung. Der entsprechende Eventualantrag ist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5.1</w:t>
      </w:r>
    </w:p>
    <w:p>
      <w:r>
        <w:t>In der angefochtenen Verfügung kommt die Vorinstanz zum Schluss, die Vorbringen des Beschwerdeführers hielten den Anforderungen an die Flüchtlingseigenschaft gemäss Art. 3 AsylG nicht stand. Ohne deren Schwere zu verkennen und die daraus resultierenden subjek- tiven Befürchtungen in Abrede zu stellen, sei festzustellen, dass die er- littenen Misshandlungen durch den Mullah nicht auf einem Motiv nach Art. 3 AsylG gründen, sondern in der pädophilen Neigung des Geistlichen liegen würden. Da der Beschwerdeführer zum damaligen Zeitpunkt ein minderjähriger Knabe gewesen sei, hätten er und seine Familie auch bei einer Strafanzeige bei der Polizei aufgrund der damals geltenden Strafge- setzgebung keine Nachteile zu erwarten gehabt.</w:t>
      </w:r>
    </w:p>
    <w:p>
      <w:r>
        <w:t>E-1560/2022 Seite 7 Die Äusserungen der Mitschüler sowie der Nachbarn, er sei das «Spiel- chen des Mullahs» oder der «Junge ohne Bart», seien zum einen blosse Beleidigungen, zum anderen treffe der Begriff «Bacha Bazi» offensichtlich nicht auf den Beschwerdeführer zu. Die Straftaten gegen den Vater beruh- ten sodann auf einem kriminellen und nicht einem Motiv nach Art. 3 AsylG.</w:t>
      </w:r>
    </w:p>
    <w:p>
      <w:r>
        <w:rPr>
          <w:b/>
        </w:rPr>
        <w:t>E. 5.2</w:t>
      </w:r>
    </w:p>
    <w:p>
      <w:r>
        <w:t>In der Rechtsmitteleingabe führt der Beschwerdeführer aus, das so- ziale Stigma als Opfer homosexueller Übergriffe und damit als Lustknabe habe im länderspezifischen Kontext Afghanistans in seinem Fall die Inten- sitätsschwelle überschritten, welche für die Anerkennung als Flüchtling vo- rausgesetzt werde. Diesbezüglich sei die Praxis des Bundesverwaltungs- gerichts des «Bacha Bazi» heranzuziehen. Er gehöre der sozialen Gruppe der minderjährigen Knaben mit spezifischen weiblichen, unbehaarten Ge- sichtszügen an. Hinzu komme, dass die Übergriffe aus einem Verfolgungs- motiv heraus vorgenommen worden seien. Vorliegend sei das Motiv der politischen Anschauung erfüllt, da sein Vater von den Häschern des Mul- lahs nach der Anzeigeerstattung schwer verletzt worden sei.</w:t>
      </w:r>
    </w:p>
    <w:p>
      <w:r>
        <w:rPr>
          <w:b/>
        </w:rPr>
        <w:t>E. 5.3</w:t>
      </w:r>
    </w:p>
    <w:p>
      <w:r>
        <w:t>In der Vernehmlassung führt die Vorinstanz aus, allein aufgrund seines minderjährigen Alters sowie männlichen Geschlechts gehöre der Be- schwerdeführer nicht automatisch einer bestimmten sozialen Gruppe im Sinne von Art. 3 AsylG an. Die seitens des Mullahs begangen sexuellen Übergriffe seien weder als politisch, ethnisch, rassistisch, nationalistisch noch aufgrund der sozialen Zugehörigkeit motiviert zu erachten. Dessen Motiv sei offensichtlich seine persönliche Charaktereigenschaft, nament- lich seine pädophile Neigung, womit sein Tun als krimineller Akt zu qualifi- zieren sei. Der Beschwerdeführer könne sodann nicht zur sozialen Gruppe der Tanzknaben gezählt werden, da dazu mehrere Kriterien in einer spezi- fischen Kombination erfüllt sein müssen. Auch wenn die Beleidigungen ge- genüber ihm eine zusätzliche psychische Belastung gewesen seien, könne nicht von einem unerträglichen psychischen Druck ausgegangen werden, der ein menschenwürdiges Leben verunmögliche und dem er sich nur durch seine Ausreise aus Afghanistan habe entziehen können.</w:t>
      </w:r>
    </w:p>
    <w:p>
      <w:r>
        <w:rPr>
          <w:b/>
        </w:rPr>
        <w:t>E. 5.4</w:t>
      </w:r>
    </w:p>
    <w:p>
      <w:r>
        <w:t>In der Replik hält der Beschwerdeführer daran fest, die sexuellen Über- griffe sowie die Vergewaltigung habe aufgrund der Zugehörigkeit zu einer bestimmten sozialen Gruppe, der minderjährigen Knaben mit einem femi- ninen Erscheinungsbild stattgefunden. Spätestens seine soziale Ausgren- zung und Stigmatisierung stelle eine flüchtlingsrechtlich relevante Verfol- gung dar, da diese zu einem unerträglichen psychischen Druck führe.</w:t>
      </w:r>
    </w:p>
    <w:p>
      <w:r>
        <w:t>E-1560/2022 Seite 8</w:t>
      </w:r>
    </w:p>
    <w:p>
      <w:r>
        <w:rPr>
          <w:b/>
        </w:rPr>
        <w:t>E. 6.1</w:t>
      </w:r>
    </w:p>
    <w:p>
      <w:r>
        <w:t>Der Beschwerdeführer macht geltend, er gehöre der sozialen Gruppe der «Bacha Bazi» beziehungsweise der minderjährigen Knaben mit spezi- fischen femininen und unbehaarten Gesichtszügen an. Aufgrund der erleb- ten sexuellen Übergriffe durch den Mullah und der damit in Zusammen- hang stehenden Beleidigungen durch Mitschüler und Nachbarn sei er so- dann einem unerträglichen psychischen Druck ausgesetzt gewesen, dem er sich nur durch die Ausreise aus dem Heimatstaat habe entziehen kön- nen.</w:t>
      </w:r>
    </w:p>
    <w:p>
      <w:r>
        <w:rPr>
          <w:b/>
        </w:rPr>
        <w:t>E. 6.2</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Bundesverwaltungsgericht in seiner Rechtsprechung davon aus- geht, die Opfer dieser «Bacha Bazi»-Praktik seien zumindest für die Jahre, in welchen sie als Tanzjungen missbraucht wurden, als Zugehörige zu ei- ner bestimmten sozialen Gruppe gemäss Art. 3 Abs. 1 AsylG zu betrachten (vgl. Urteil des BVGer D-262/2017 vom 1. Mai 2017 E. 5.1). Nach Errei- chen der Volljährigkeit ist das Vorliegen einer begründeten Furcht vor flüchtlingsrechtlich relevanter Verfolgung aber zu verneinen, sofern keine konkreten Anzeichen dafür vorliegen, dass dem Betroffenen erneut eine Verfolgung drohen könnte (vgl. Urteil des BVGer E-4196/2018 vom 16. Ok- tober 2019 E. 8 m.w.H.). Der Beschwerdeführer wurde von einem Mullah sexuell belästigt und ver- gewaltigt. Diese vom Beschwerdeführer in jungen Jahren mehrfach erleb- ten sexuellen Übergriffe sind äusserst bedauerlich, ebenso die damit in Zu- sammenhang erfolgten Beleidigungen durch Mitschüler und Nachbarn. Mit der Vorinstanz ist jedoch darin übereinzugehen, dass der Beschwerdefüh- rer nicht zur sozialen Gruppe der Tanzknaben gezählt werden kann, da bei ihm mehrere Kriterien in der erforderlichen Kombination nicht erfüllt sind. Unter anderem musste er sich weder Frauenkleider anziehen noch vor Männern tanzen. Vielmehr ist festzustellen, dass der Mullah einen ganz persönlichen Gefallen an der Person des Beschwerdeführers gefunden hat und Zuneigung zu ihm empfand. Gemäss den eigenen Aussagen des Be- schwerdeführers sagte der Mullah ihm gegenüber, er erachte ihn als schön</w:t>
      </w:r>
    </w:p>
    <w:p>
      <w:r>
        <w:t>E-1560/2022 Seite 9 und er gefalle ihm (SEM-Akten 1098285-17/11, F12). In Übereinstimmung mit der Vorinstanz ist daher davon auszugehen, dass der Beschwerdefüh- rer wohl eher zufällig Opfer eines vermeintlich pädophil veranlagten Man- nes wurde. Weiter kann entgegen der Ansicht des Beschwerdeführers und mit der Vorinstanz auch nicht davon ausgegangen werden, dass die blos- sen Merkmale eines minderjährigen Jungen mit spezifischen femininen und unbehaarten Gesichtszügen gemäss den vorstehenden Ausführungen für sich alleine besehen für die Annahme einer bestimmten sozialen Gruppe genügen. Soweit sich der Beschwerdeführer in diesem Zusam- menhang auf die Urteile D-262/20217 vom 1. Mai 2017 und E-4196/2018 vom 16. Oktober 2019 beruft, vermag er daraus nichts zu seinen Gunsten abzuleiten, zumal gerade dem letzten Entscheid ein wesentlich anderer Sachverhalt zugrunde lag. Der Beschwerdeführer gehört demnach keiner bestimmten sozialen Gruppe im Sinne von Art. 3 Abs. 1 AsylG an.</w:t>
      </w:r>
    </w:p>
    <w:p>
      <w:r>
        <w:rPr>
          <w:b/>
        </w:rPr>
        <w:t>E. 6.3</w:t>
      </w:r>
    </w:p>
    <w:p>
      <w:r>
        <w:t>Der Beschwerdeführer macht weiter geltend, die soziale Ächtung und Ausgrenzung aufgrund des Vorgefallen habe bei ihm zu einem unerträgli- chen psychischen Druck geführt, welcher die flüchtlingsrechtlich relevante Intensität bei weitem erreicht habe. Gemäss Rechtsprechung liegt ein unerträglicher psychischer Druck vor, wenn der betroffenen Person aufgrund des objektiven Eingriffs ein men- schenwürdiges Leben im Heimatstaat nicht mehr möglich ist oder in unzu- mutbarer Weise erschwert wird, so dass er sich diesem nur noch durch Flucht ins Ausland entziehen kann. Dabei hat die Verfolgungsmassnahme auch bei einer objektivierten Betrachtung als derart intensiv zu gelten, dass der betroffenen Person ein weiterer Verbleib im Heimatstaat nicht zugemu- tet werden kann. Ausschlaggebend ist somit nicht allein, wie die betroffene Person die Situation subjektiv erlebt, sondern ob aufgrund der tatsächlichen Situation auch für Aussenstehende nachvollziehbar ist, dass der psychische Druck unerträglich geworden ist (vgl. BVGE 2014/29 E. 4.3 f., CONSTANTIN HRUSCHKA in: Spescha et al. [Hrsg.], Kommentar zum Migrationsrecht, 5. Aufl. 2019, Art. 3 AsylG N. 9, Schweizerische Flüchtlingshilfe SFH [Hrsg.], Handbuch zum Asyl- und Wegweisungsver- fahren, 3. Aufl. 2021, S. 190 f.).</w:t>
      </w:r>
    </w:p>
    <w:p>
      <w:r>
        <w:rPr>
          <w:b/>
        </w:rPr>
        <w:t>E. 6.4</w:t>
      </w:r>
    </w:p>
    <w:p>
      <w:r>
        <w:t>Es ist nachvollziehbar und wird nicht in Frage gestellt, dass die erleb- ten sexuellen Übergriffe und die damit verbundenen Beleidigungen durch Mitschüler und Nachbarn vom damals minderjährigen Beschwerdeführer subjektiv als sehr belastend empfunden wurden und nach wie vor empfin- det werden. Dass ihm deshalb objektiv betrachtet ein menschenwürdiges</w:t>
      </w:r>
    </w:p>
    <w:p>
      <w:r>
        <w:t>E-1560/2022 Seite 10 Leben im Heimatstaat nicht mehr zugemutet werden kann, ist indes klar zu verneinen. Dies namentlich deshalb, weil es vorliegend für die Anerken- nung des Beschwerdeführers als Flüchtling offensichtlich bereits an einem Verfolgungsmotiv gemäss Art. 3 AsylG fehlt. Im Streit des Vaters mit dem Mullah und dem tätlichen Angriff auf den Vater des Beschwerdeführers durch Häscher des Mullahs – unabhängig davon ob dies zu einer medizi- nischen Versorgung führte – eine politische Haltung erkennen zu wollen, ist nach keiner Richtung nicht nachvollziehbar. Sodann kann aufgrund der erfolgten Tätlichkeit gegenüber dem Vater, welche bedauerlicherweise auch zu leichten Körperverletzungen geführt haben, entgegen der in der Beschwerde vertretenen Ansicht nicht auf eine Tötungsabsicht geschlos- sen werden. Im Übrigen hätte sich die Familie des Beschwerdeführers den Unannehmlichkeiten durch einen innerstaatlichen Wohnsitzwechsel ohne weiteres entziehen können. Der Beschwerdeführer macht in der Rechtsmitteleingabe weiter geltend, in Afghanistan fehle es am Schutzwillen in Bezug auf die Übergriffe durch einen Mullah. Gemäss den eigenen Angaben des Beschwerdeführers an- lässlich der Anhörung hat sein Vater eine Strafanzeige gegen den Mullah bei der Polizei eingereicht. Dies hätte er wohl kaum getan, wäre er davon ausgegangen, die Polizei würde die Tat nicht weiterverfolgen, mithin sie schutzwillig sei. Diese Sichtweise rechtfertigt sich umso mehr, als der Be- schwerdeführer nicht geltend macht, die Polizei habe die Anzeige nicht ent- gegengenommen. Dass der Vater des Beschwerdeführers in Folge der An- zeige von den Häschern des Mullahs tätlich angegangen wurde, ist nicht eine Frage des staatlichen Schutzwillens. Kein Staat kann jederzeit die ab- solute Sicherheit seiner Bürger gewährleisten. Schliesslich ist um Wieder- holungen zu vermeiden auf die Ausführungen der Vorinstanz in der Ver- nehmlassung zu verweisen, gemäss welchen unter der ehemaligen Tali- ban-Herrschaft als auch von der ehemaligen afghanischen Regierung se- xuelle Übergriffe gegenüber jungen Knaben als strafbar angesehen wurde. Aufgrund der vorstehenden Erwägungen ergibt sich, dass der Beschwer- deführer die Voraussetzungen zur Anerkennung als Flüchtling nicht erfüllt. Demnach ist nicht weiter darauf einzugehen, ob eine erlittene Vorverfol- gung ausnahmsweise auch nach Wegfall einer drohenden Verfolgungsge- fahr weiterhin als asylrechtlich relevant zu betrachten sei. Zusammenfas- send ist festzuhalten, dass der Beschwerdeführer die Voraussetzungen zur Anerkennung als Flüchtling nicht erfüllt.</w:t>
      </w:r>
    </w:p>
    <w:p>
      <w:r>
        <w:t>E-1560/2022 Seite 11</w:t>
      </w:r>
    </w:p>
    <w:p>
      <w:r>
        <w:rPr>
          <w:b/>
        </w:rPr>
        <w:t>E. 7.1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in der angefochtenen Verfügung wegen Unzumutbarkeit des Wegweisungsvollzuges in der Schweiz vorläufig aufgenommen hat, stellt sich die Frage nach dem Vorliegen der weiteren Voraussetzungen für einen Verzicht auf den Vollzug der Wegweisung – Unzulässigkeit und Unmöglichkeit – nicht, da diese Voll- 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Bei diesem Ausgang des Verfahrens wären die Kosten dem Beschwerdeführer aufzuerlegen (Art. 63 Abs. 1 VwVG). Mit Zwischen- verfügung vom 3. Mai 2022 wurde jedoch das Gesuch um unentgeltliche Rechtspflege gutgeheissen. Seit dem 1. August 2024 ist der Beschwerde- führer zwar als (…) an der E._______ tätig, jedoch kann zu diesem Zeit- punkt von keinen wesentlichen Veränderungen seiner finanziellen Verhält- nisse ausgegangen werden, womit dem Beschwerdeführer keine Kosten aufzuerlegen sind.</w:t>
      </w:r>
    </w:p>
    <w:p>
      <w:r>
        <w:t>E-1560/2022 Seite 12</w:t>
      </w:r>
    </w:p>
    <w:p>
      <w:r>
        <w:rPr>
          <w:b/>
        </w:rPr>
        <w:t>E. 10.2</w:t>
      </w:r>
    </w:p>
    <w:p>
      <w:r>
        <w:t>Mit gleicher Zwischenverfügung wurde das Gesuch um amtliche Ver- beiständung gutgeheissen und der rubrizierte Rechtsvertreter als amtlicher Rechtsbeistand eingesetzt. Dieser reichte mit Replik vom 11. Juli 2022 eine aktualisierte Kostennote zu den Akten und macht darin einen Aufwand von insgesamt 19.5 Stunden zuzüglich Aufwand geltend. Der zeitliche Aufwand wird als nicht angemessen erachtet, zumal die Ausführungen zum Men- schenhandel jeglicher Grundlage entbehren und diejenigen in der Replik sich weitgehend auf eine sehr ausführliche Wiederholung der Ausführun- gen in der Beschwerdeschrift beschränken. Der zeitliche Aufwand ist um zweieinhalb Stunden zu kürzen. Demnach sind insgesamt 17 Stunden zu entschädigen, wobei unter Hinweis auf die Zwischenverfügung vom 3. Mai 2022 von einem Stundensatz von Fr. 150.– auszugehen ist. Der zu- sätzliche Aufwand von Fr. 132.20 erscheint dagegen als angemessen. Das amtliche Honorar ist demnach auf gesamthaft Fr. 2’682.20 festzusetzten. Dieser Betrag ist dem amtlichen Rechtsbeistand vom Bundesverwaltungs- gericht auszurichten.</w:t>
      </w:r>
    </w:p>
    <w:p>
      <w:r>
        <w:t>(Dispositiv nächste Seite)</w:t>
      </w:r>
    </w:p>
    <w:p>
      <w:r>
        <w:t>E-1560/2022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