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E-1560/2014 vom 3. April 2014</w:t>
      </w:r>
    </w:p>
    <w:p>
      <w:r>
        <w:t>Bundesverwaltungsgericht, 2014-04-03, DE</w:t>
      </w:r>
    </w:p>
    <w:p>
      <w:r>
        <w:rPr>
          <w:b/>
        </w:rPr>
        <w:t xml:space="preserve">Quelle: </w:t>
      </w:r>
      <w:r>
        <w:t>https://mcp.opencaselaw.ch/entscheid/bvger_E-1560_2014</w:t>
      </w:r>
    </w:p>
    <w:p>
      <w:r>
        <w:t>FR: TAF E-1560/2014 du 3 avril 2014</w:t>
      </w:r>
    </w:p>
    <w:p>
      <w:r>
        <w:t>IT: TAF E-1560/2014 del 3 aprile 2014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gutgeheissen, soweit darauf einzutreten ist.</w:t>
      </w:r>
    </w:p>
    <w:p>
      <w:r>
        <w:rPr>
          <w:b/>
        </w:rPr>
        <w:t>E. 2</w:t>
      </w:r>
    </w:p>
    <w:p>
      <w:r>
        <w:t>Die Akten werden an das BFM zurückgesendet, verbunden mit der Anweisung, das Asylgesuch des Beschwerdeführers an die Hand zu nehmen.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dem Beschwerdeführer für das Rechtsmittelverfahren eine Parteientschädigung von Fr. 450.- (inklusive Auslagen und Mehrwert-steueranteil) zu entrichten.</w:t>
      </w:r>
    </w:p>
    <w:p>
      <w:r>
        <w:rPr>
          <w:b/>
        </w:rPr>
        <w:t>E. 5</w:t>
      </w:r>
    </w:p>
    <w:p>
      <w:r>
        <w:t>Dieses Urteil geht an den Beschwerdeführer, das BFM und (...). Die Einzelrichterin: Der Gerichtsschreiber: Esther Karpathakis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