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E-155/2020 vom 14. Dezember 2023</w:t>
      </w:r>
    </w:p>
    <w:p>
      <w:r>
        <w:t>Bundesverwaltungsgericht, 2023-12-14, DE</w:t>
      </w:r>
    </w:p>
    <w:p>
      <w:r>
        <w:rPr>
          <w:b/>
        </w:rPr>
        <w:t xml:space="preserve">Quelle: </w:t>
      </w:r>
      <w:r>
        <w:t>https://mcp.opencaselaw.ch/entscheid/bvger_E-155_2020</w:t>
      </w:r>
    </w:p>
    <w:p>
      <w:r>
        <w:t>FR: TAF E-155/2020 du 14 décembre 2023</w:t>
      </w:r>
    </w:p>
    <w:p>
      <w:r>
        <w:t>IT: TAF E-155/2020 del 14 dicembre 2023</w:t>
      </w:r>
    </w:p>
    <w:p>
      <w:pPr>
        <w:pStyle w:val="Heading2"/>
      </w:pPr>
      <w:r>
        <w:t>Regeste</w:t>
      </w:r>
    </w:p>
    <w:p>
      <w:r>
        <w:t>Nichteintreten auf Asylgesuch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t>E-155/2020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 Der Antrag auf Einräumung des Replikrechts wird somit hinfällig.</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(Art. 111b Art. 1 AsylG). In seiner praktisch relevantesten Form bezweckt das Wiedererwägungs- 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einen Anspruch auf Wiedererwägung begründen (zum soge- nannten "qualifizierten Wiedererwägungsgesuch" vgl. BVGE 2013/22 E. 5.4 m.w.H.). Ein weiterer Anwendungsbereich der Wiedererwägung be- trifft die Konstellation, dass die abzuändernde Verfügung beim Bundesver- waltungsgericht angefochten und durch dieses materiell beurteilt wurde, die Revision des Urteils aber ausgeschlossen ist, weil die geltend gemach- ten Tatsachen und/oder Beweismittel nach dem Urteil entstanden sind (vgl. Art. 123 Abs. 2 Bst. a [in fine] BGG). Für solche Fälle hat das Bundesver- waltungsgericht im Grundsatzentscheid BVGE 2013/22 (vgl. dort E. 12.3) den Rechtsweg via ein beim SEM einzureichendes Wiedererwägungsge- such ermöglicht.</w:t>
      </w:r>
    </w:p>
    <w:p>
      <w:r>
        <w:rPr>
          <w:b/>
        </w:rPr>
        <w:t>E. 5</w:t>
      </w:r>
    </w:p>
    <w:p>
      <w:r>
        <w:t>Das SEM hat das am 30. Oktober 2019 eingereichte «qualifizierte Wieder- erwägungsgesuch im Sinne von Art. 111b AsylG und Art. 66 ff. VwVG», mit welchem hauptsächlich das Vorliegen neuer Beweismittel im Sinne von Art. 66 Abs. 2 Bst. a VwVG geltend gemacht wird, als Wiedererwägungs- gesuch entgegengenommen und materiell behandelt. Diese Qualifizierung</w:t>
      </w:r>
    </w:p>
    <w:p>
      <w:r>
        <w:t>E-155/2020 Seite 8 und Vorgehensweise ist, hält man sich an die von der Partei eingeschla- gene Stossrichtung, nicht zu beanstanden.</w:t>
      </w:r>
    </w:p>
    <w:p>
      <w:r>
        <w:rPr>
          <w:b/>
        </w:rPr>
        <w:t>E. 6.1</w:t>
      </w:r>
    </w:p>
    <w:p>
      <w:r>
        <w:t>Zur Begründung seines abweisenden Wiedererwägungsentscheids stellte das SEM zunächst eine erhebliche Mitwirkungsverletzung der Be- schwerdeführenden hinsichtlich der instruktionsweise eingeforderten Ge- suchssubstanziierungen fest (Angaben zum Anwalt, Einreichung Anwalts- vollmacht, Umstände der Kenntnisnahme des Anwalts betr. das gegen den Beschwerdeführer eingeleitete Strafverfahren, aktueller Verfahrensstand, Einreichung der Anzeige auslösenden Facebook-Einträge). Diese Verlet- zung hätten sie nicht überzeugend zu erklären vermocht. Der im einzig vor- gelegten Beweismittel (Einvernahmeprotokoll vom […] August 2019) er- wähnte Name des Beschwerdeführers sei im Übrigen weit verbreitet, wes- halb nicht von dessen Identifizierung, einer begründeten Furcht vor erfolg- reichen Ermittlungen der Staatsanwaltschaft und mithin vor Verfolgung in der Türkei auszugehen sei, selbst wenn das Einvernahmeprotokoll authen- tisch sein sollte. Es bestehe damit auch keine Veranlassung zur Ausstel- lung eines amtlichen Identitätsdokumentes zwecks Beschaffung weiterer Beweismittel. Die Verweigerung der aufschiebenden Wirkung stütze sich auf Art. 111b Abs. 3 AsylG.</w:t>
      </w:r>
    </w:p>
    <w:p>
      <w:r>
        <w:rPr>
          <w:b/>
        </w:rPr>
        <w:t>E. 6.2</w:t>
      </w:r>
    </w:p>
    <w:p>
      <w:r>
        <w:t>In ihrer Rechtsmitteleingabe machen die Beschwerdeführenden auf ih- ren Anspruch aufmerksam, im vorliegenden Beschwerdeverfahren neue Tatsachen, neue Beweismittel und neue Gründe vorbringen zu dürfen. Es sei ihnen nun doch gelungen, einen neuen Anwalt in der Türkei zu manda- tieren und diesen mit Abklärungen zum besagten Strafverfahren zu beauf- tragen; die Vollmacht vom (…) Dezember 2019 liege bei. Dieser habe zwi- schenzeitlich Akten dieses Verfahrens erhältlich machen können, die nun eingereicht würden (Beweismittelbeilagen 8-26: insb. Strafanzeigen sowie Korrespondenzen und Beschlüsse der Polizei-, Ermittlungs- und Untersu- chungsbehörden, ferner auszugsweise Facebook-Einträge). Aus diesen Dokumenten gehe die Hängigkeit von zwei gegen den Beschwerdeführer gerichteten, in der Folge vereinigten Strafuntersuchungsverfahren betref- fend den Verdacht auf Propaganda für eine Terrororganisation aufgrund von dessen Facebook-Einträgen hervor, ausgelöst durch zwei Strafanzei- gen vom (…) August und vom (…) Oktober 2019. Damit erwiesen sich die auch für sich besehen bereits unrichtigen Erkenntnisse des SEM gemäss angefochtener Verfügung und insbesondere die dort vorgenommene, ober- flächliche Glaubhaftigkeitsprüfung als unzutreffend. Die Strafverfolgung sei illegitim sowie ethnisch und politisch motiviert. Im Falle der Rückkehr in die</w:t>
      </w:r>
    </w:p>
    <w:p>
      <w:r>
        <w:t>E-155/2020 Seite 9 Türkei habe der Beschwerdeführer mit seiner Festnahme, Untersuchungs- haft, einer langjährigen Freiheitsstrafe, Folter und Misshandlungen zu rechnen. Die Tatvorwürfe basierten auf auch vom Bundesverwaltungsge- richt als kritisch eingestuften gesetzlichen Grundlagen. Die Asylrelevanz sei somit gegeben und er wie auch seine Familie (im Rahmen des Fami- lienasyls) hätten Anspruch auf Zuerkennung der Flüchtlingseigenschaft und Gewährung des Asyls, zumindest aber auf Gewährung der vorläufigen Aufnahme, zumal angesichts der kritischen und kurdenfeidlichen Men- schenrechtslage und politischen Situation in der Türkei sowie der für die Familie drohenden existenziellen Notlage nach einer Inhaftierung des Be- schwerdeführers. Erschwerend komme die Furcht vor einer Reflexverfol- gung hinzu, weil der Bruder des Beschwerdeführers (G._______) medien- kundig Kadermitglied der von den Kurden kontrollierten H._______ (Sy- rien) sei. Allenfalls sei die Sache an das SEM zur vollständigen und richti- gen Sachverhaltsfeststellung und Neubeurteilung zurückzuweisen, weil das SEM es ihnen im vorinstanzlichen Verfahren verwehrt habe, Beweis- mittel für die vorgebrachten Behauptungen einzuholen, wodurch sich der entscheidwesentliche Sachverhalt als unvollständig präsentiere. Beschwerdeergänzend gab der Beschwerdeführenden einen ihn betreffen- den gerichtlichen Festnahmebefehl und einen ebenso ihn betreffenden ge- richtlichen Haftbeschluss (je vom […] November 2020) zu den Akten. Die in ärztlicher Behandlung befindliche Beschwerdeführerin gab zudem zwei sie betreffende (…) Berichte vom (…) März und vom (…) März 2023 (Di- agnose […]) zu den Akten. Für den detaillierten Inhalt der Beschwerde, der Ergänzungseingaben und der vorgelegten Beweismittel wird auf die Akten verwiesen.</w:t>
      </w:r>
    </w:p>
    <w:p>
      <w:r>
        <w:rPr>
          <w:b/>
        </w:rPr>
        <w:t>E. 7.1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was sich entsprechend in einer sachgerecht anfechtbaren Entscheidbegründung niederzuschla- gen hat (vgl. Art. 29 Abs. 2 BV; Art. 29, Art. 32 Abs. 1 und Art. 35 Abs. 1 VwVG). Der Untersuchungsgrundsatz gehört sodann zu den allgemeinen Grundsätzen des Verwaltungs- beziehungsweise Asylverfahrens (vgl.</w:t>
      </w:r>
    </w:p>
    <w:p>
      <w:r>
        <w:t>E-155/2020 Seite 10 Art. 6 AsylG i.V.m. Art. 12 VwVG). Demnach hat die Behörde von Amtes wegen für die richtige und vollständige Abklärung des rechtserheblichen Sachverhalts zu sorgen, die für das Verfahren notwendigen Unterlagen zu beschaffen, die rechtlich relevanten Umstände abzuklären und ordnungs- gemäss darüber Beweis zu führen. Gemäss Art. 33 Abs. 1 VwVG nimmt sie die ihr angebotenen Beweise ab, wenn diese zur Abklärung des Sach- verhalts tauglich erscheinen. Der Untersuchungsgrundsatz findet seine Grenze an der Mitwirkungspflicht der Gesuchstellenden (Art. 13 VwVG und im Asylbereich speziell Art. 8 AsylG). Unrichtig ist die Sachverhaltsfeststel- lung, wenn der Verfügung ein falscher und aktenwidriger Sachverhalt zu- grunde gelegt wird oder Beweise falsch gewürdigt worden sind; unvollstän- dig ist sie, wenn nicht alle für den Entscheid rechtswesentlichen Sachum- stände berücksichtigt werden (vgl. KÖLZ/HÄNER/BERTSCHI, Verwaltungs- verfahren und Verwaltungsrechtspflege des Bundes, 3. Aufl., 2013, Rz. 1043). Die unrichtige oder unvollständige Feststellung des rechtserheb- lichen Sachverhalts bildet einen Beschwerdegrund und dem Bundesver- waltungsgericht obliegt gemäss Art. 49 Bst. b VwVG beziehungsweise Art. 106 Abs. 1 Bst. b AsylG eine umfassende Sachverhaltskontrolle. Er- mittelt das Bundesverwaltungsgericht eine fehler- oder lückenhafte Fest- stellung des Sachverhalts, hebt es die Verfügung auf und weist die Sache an die Vorinstanz zurück, damit diese den rechtserheblichen Sachverhalt neu und vollständig feststellt (vgl. MOSER ET AL., Prozessieren vor dem Bundesverwaltungsgericht, 3. Aufl. 2022, Rz. 2.191; KÖLZ/HÄNER/BERT- SCHI, a.a.O., Rz. 1155).</w:t>
      </w:r>
    </w:p>
    <w:p>
      <w:r>
        <w:rPr>
          <w:b/>
        </w:rPr>
        <w:t>E. 7.2</w:t>
      </w:r>
    </w:p>
    <w:p>
      <w:r>
        <w:t>Die in der Beschwerde vertretene Auffassung, wonach das SEM es den Beschwerdeführenden im vorinstanzlichen Verfahren verwehrt habe, Be- weismittel für die vorgebrachten Behauptungen einzuholen, wodurch es den entscheidwesentlichen Sachverhalt unvollständig abgeklärt und fest- gestellt habe, kann – bezogen auf den Verfügungszeitpunkt – in dieser ka- tegorischen Form nicht gestützt werden. Immerhin wurde ihnen nicht nur Gelegenheit geboten, ihr im Einreichungszeitpunkt offensichtlich nicht liqui- des Wiedererwägungsgesuch zu substanziieren und mit (sie betreffenden) Beweismitteln zu unterlegen, sondern sie wurden auch ausdrücklich auf ihre dahingehende Mitwirkungspflicht nach Art. 8 AsylG aufmerksam ge- macht. Anders präsentiert sich die Sachverhalts- und Beweislage seit Einreichung der Beschwerde: Diese enthält zahlreiche Beweismittel zur behaupteten Verfolgungssituation des Beschwerdeführers (insb. Strafanzeigen sowie</w:t>
      </w:r>
    </w:p>
    <w:p>
      <w:r>
        <w:t>E-155/2020 Seite 11 Korrespondenzen und Beschlüsse der Polizei-, Ermittlungs- und Untersu- chungsbehörden, ferner auszugsweise Facebook-Einträge) und umfang- reiche Ausführungen hierzu. Beschwerdeergänzend wurden zudem mit Eingaben vom 3. Februar 2021 beziehungsweise vom 4. November 2022 ein gerichtlicher Festnahmebefehl und ein gerichtlicher Haftbeschluss je vom (…) November 2020 (offensichtlich nicht identisch) nachgereicht. Im Weiteren gab die Beschwerdeführerin (weitgehend kommentarlos) zwei sie betreffende (…) Berichte vom (…) März und vom (…) März 2023 zu den Akten. Die Berücksichtigung und Würdigung dieser Noven einzig im Rah- men des Beschwerdeverfahrens würde, selbst bei Durchführung eines Schriftenwechsels, den Rahmen der gebotenen Berücksichtigung aller für den Entscheid rechtswesentlichen Sachumstände sprengen, zumal bei ei- ner Würdigung zulasten der Beschwerdeführenden und entsprechendem Verfahrensausgang der Rechtsweg verschlossen bliebe und den Be- schwerdeführenden faktisch ein bloss einstufiges Entscheidverfahren zur Verfügung stünde. Es ergibt sich, dass der für die Beurteilung des Wiedererwägungsgesuchs rechtserhebliche Sachverhalt ungenügend abgeklärt und festgestellt und dadurch der Anspruch der Beschwerdeführenden auf Wahrung des recht- lichen Gehörs verletzt ist.</w:t>
      </w:r>
    </w:p>
    <w:p>
      <w:r>
        <w:rPr>
          <w:b/>
        </w:rPr>
        <w:t>E. 7.3</w:t>
      </w:r>
    </w:p>
    <w:p>
      <w:r>
        <w:t>Da nach dem Gesagten nicht alle für den Entscheid rechtswesentlichen Sachumstände abgeklärt und berücksichtigt wurden und mithin eine fehler- und lückenhafte Feststellung des Sachverhalts vorliegt, ist die angefoch- tene Verfügung aufzuheben und die Sache zur vollständigen und richtigen Sachverhaltsabklärung und –feststellung (unter Mitberücksichtigung des Inhalts der Beschwerde und ihrer Ergänzungen) sowie zur Neubeurteilung an das SEM zurückzuweisen. Die Beschwerde ist insoweit gutzuheissen. Eine (praxisgemäss nur unter restriktiven Voraussetzungen mögliche) Hei- lung der erkannten Verfahrensmängel aus prozessökonomischen Gründen auf Beschwerdeebene fällt vorliegend aus den bereits erwähnten Gründen (insb. Abschneidung des Rechtsweges) nicht in Betracht.</w:t>
      </w:r>
    </w:p>
    <w:p>
      <w:r>
        <w:rPr>
          <w:b/>
        </w:rPr>
        <w:t>E. 8.1</w:t>
      </w:r>
    </w:p>
    <w:p>
      <w:r>
        <w:t>Bei diesem Ausgang des Verfahrens sind keine Kosten zu erheben (Art. 63 Abs. 1 und 2 VwVG), womit der prozessuale Antrag auf Gewäh- rung der unentgeltlichen Rechtspflege im Sinne von Art. 65 Abs. 1 VwVG hinfällig wird.</w:t>
      </w:r>
    </w:p>
    <w:p>
      <w:r>
        <w:t>E-155/2020 Seite 12</w:t>
      </w:r>
    </w:p>
    <w:p>
      <w:r>
        <w:rPr>
          <w:b/>
        </w:rPr>
        <w:t>E. 8.2</w:t>
      </w:r>
    </w:p>
    <w:p>
      <w:r>
        <w:t>8.2 Den vertretenen Beschwerdeführenden ist angesichts ihres Obsie- gens in Anwendung von Art. 64 VwVG und Art. 7 Abs. 1 des Reglements vom 21. Februar 2008 über die Kosten und Entschädigungen vor dem Bun- desverwaltungsgericht (VGKE, SR 173.320.2) eine Entschädigung für die ihnen notwendigerweise erwachsenen Parteikosten zuzusprechen. Die bei den Akten liegende, vom 15. Februar 2020 datierende Kostennote des zu- erst mandatierten Rechtsvertreters im Gesamtbetrag von Fr. 2'107.70 er- scheint hinsichtlich des ausgewiesenen Zeitaufwandes von 9.5 Stunden unter Berücksichtigung der gesamten Umstände überhöht, bedarf aber ei- ner Aufrechnung der seither hinzugekommenen, überschaubaren Aufwen- dungen. Die von der Vorinstanz auszurichtende Parteientschädigung an den vormaligen Rechtsvertreter, MLaw Sami Imer, ist demnach auf insge- samt Fr. 2'100.– (inkl. Auslagen und Mehrwertsteuerzuschlag im Sinne von Art. 9 Abs. 1 Bst. c VGKE) festzusetzen. Der aktuelle Rechtsvertreter hat keine Kostennote eingereicht. Dessen Aufwand hält sich jedoch in engen Grenzen und erschöpft sich in der weitgehend kommentarlosen Nachrei- chung von Beweismitteln. Die von der Vorinstanz auszurichtende Partei- entschädigung an den rubrizierten Rechtsvertreter, Rechtsanwalt lic. iur. Michael Steiner, ist demnach auf insgesamt Fr. 400.– (inkl. Ausla- gen und Mehrwertsteuerzuschlag im Sinne von Art. 9 Abs. 1 Bst. c VGKE) festzusetzen. Der prozessuale Antrag auf Beiordnung von MLaw Sami Imer als unentgeltlicher Rechtsbeistand wird damit ebenso hinfällig.</w:t>
      </w:r>
    </w:p>
    <w:p>
      <w:r>
        <w:t>(Dispositiv nächste Seite)</w:t>
      </w:r>
    </w:p>
    <w:p>
      <w:r>
        <w:t>E-155/2020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