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E-1557/2016 vom 16. März 2016</w:t>
      </w:r>
    </w:p>
    <w:p>
      <w:r>
        <w:t>Bundesverwaltungsgericht, 2016-03-16, DE</w:t>
      </w:r>
    </w:p>
    <w:p>
      <w:r>
        <w:rPr>
          <w:b/>
        </w:rPr>
        <w:t xml:space="preserve">Quelle: </w:t>
      </w:r>
      <w:r>
        <w:t>https://mcp.opencaselaw.ch/entscheid/bvger_E-1557_2016</w:t>
      </w:r>
    </w:p>
    <w:p>
      <w:r>
        <w:t>FR: TAF E-1557/2016 du 16 mars 2016</w:t>
      </w:r>
    </w:p>
    <w:p>
      <w:r>
        <w:t>IT: TAF E-1557/2016 del 16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5</w:t>
      </w:r>
    </w:p>
    <w:p>
      <w:r>
        <w:t>In der angefochtenen Verfügung stellte die Vorinstanz zu Recht fest, aufgrund der Umstände, dass dem Beschwerdeführer von Polen ein Visum ausgestellt worden sei und die polnischen Behörden dem Übernahmegesuch zugestimmt hätten, liege die Zuständigkeit zur Durchführung des Asyl- und Wegweisungsverfahrens bei Polen. Die staatsvertragliche Zuständigkeit Polens steht aufgrund der Akten ohne weiteres fest. Die Einwände des Beschwerdeführers (die Reise in die Schweiz sei lang und beschwerlich gewesen, er habe in Polen kein Asylgesuch gestellt, sondern habe in die Schweiz kommen wollen, wo er sich integrieren und einen Beitrag leisten könne) sind unbehelflich.</w:t>
      </w:r>
    </w:p>
    <w:p>
      <w:r>
        <w:rPr>
          <w:b/>
        </w:rPr>
        <w:t>E. 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7</w:t>
      </w:r>
    </w:p>
    <w:p>
      <w:r>
        <w:t>Polen ist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Es gilt die Vermutung, dass Polen seinen völker- und EU-rechtlichen Verpflichtungen nachkommt, sich insbesondere auch an das Gebot des Non-Refoulement hält. Die Gefahr einer Rückschiebung des Beschwerdeführers von Polen in Verletzung des Non-Refoulement-Gebots hat dieser nicht substanziiert dargetan und ihre Begründetheit ist auch nicht ersichtlich. Beim Entscheid der Vorinstanz, ihr Selbsteintrittsrecht nicht auszuüben, hat sie keinen Ermessensfehler begangen.</w:t>
      </w:r>
    </w:p>
    <w:p>
      <w:r>
        <w:rPr>
          <w:b/>
        </w:rPr>
        <w:t>E. 8</w:t>
      </w:r>
    </w:p>
    <w:p>
      <w:r>
        <w:t>Demnach hat die Vorinstanz die Zuständigkeit Polens zu Recht festgestellt, ist auf das Asylgesuch des Beschwerdeführers in Anwendung von Art. 31a Abs. 1 Bst. b AsylG nicht eingetreten und hat die Wegweisung nach Polen angeordnet.</w:t>
      </w:r>
    </w:p>
    <w:p>
      <w:r>
        <w:rPr>
          <w:b/>
        </w:rPr>
        <w:t>E. 9</w:t>
      </w:r>
    </w:p>
    <w:p>
      <w:r>
        <w:t>Aus diesen Erwägungen folgt, dass die angefochtene Verfügung Bundesrecht nicht verletzt und auch sonst nicht zu beanstanden ist (Art. 106 Abs. 1 AsylG). Die Beschwerde ist abzuweisen.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