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E-1555/2016 vom 29. April 2016</w:t>
      </w:r>
    </w:p>
    <w:p>
      <w:r>
        <w:t>Bundesverwaltungsgericht, 2016-04-29, DE</w:t>
      </w:r>
    </w:p>
    <w:p>
      <w:r>
        <w:rPr>
          <w:b/>
        </w:rPr>
        <w:t xml:space="preserve">Quelle: </w:t>
      </w:r>
      <w:r>
        <w:t>https://mcp.opencaselaw.ch/entscheid/bvger_E-1555_2016</w:t>
      </w:r>
    </w:p>
    <w:p>
      <w:r>
        <w:t>FR: TAF E-1555/2016 du 29 avril 2016</w:t>
      </w:r>
    </w:p>
    <w:p>
      <w:r>
        <w:t>IT: TAF E-1555/2016 del 29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Keine Flüchtlinge sind Personen, die Gründe geltend machen, die wegen ihres Verhaltens nach der Ausreise entstanden sind und weder Ausdruck noch Fortsetzung einer bereits im Heimat- oder Herkunftsstaat bestehenden Überzeugung oder Ausrichtung sind. Diese einschränkende Formulierung wurde vom Gesetzgeber allerdings durch den Vorbehalt der Geltung des Abkommens vom 28. Juli 1951 über die Rechtsstellung der Flüchtlinge (FK, SR 0.142.30) relativiert, wenn nicht gar neutralisiert (vgl. Art. 3 Abs. 4 AsylG). Entsprechend der bisherigen Praxis besitzen demnach Personen, bei welchen aufgrund von subjektiven Nachfluchtgründen die Gefahr einer zukünftigen Verfolgung besteht, die Flüchtlingseigen­schaft im Sinn von Art. 3 AsylG. Sie erfüllen allerdings nach Art. 54 AsylG einen Asylausschlussgrund und werden vorläufig aufgenommen (vgl. auch BVGE 2009/28 E. 7.1 m.w.H.).</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für die Glaubhaftmachung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Für die Glaubhaftmachung reicht es insgesamt nicht aus, wenn der Inhalt der Vorbringen zwar möglich ist, aber in Würdigung der gesamten Aspekte wesentliche und überwiegende Umstände gegen die vorgebrachte Sachverhaltsdarstellung sprechen (vgl. BVGE 2015/3 E. 6.5.1, BVGE 2013/11 E. 5.1, BVGE 2010/57 E. 2.3 jeweils m.w.H).</w:t>
      </w:r>
    </w:p>
    <w:p>
      <w:r>
        <w:rPr>
          <w:b/>
        </w:rPr>
        <w:t>E. 5.1</w:t>
      </w:r>
    </w:p>
    <w:p>
      <w:r>
        <w:t>Die Vorinstanz zieht bereits die geltend gemachte Mitgliedschaft der Beschwerdeführerin zur Gemeinschaft der E._______ in Zweifel, weil sie ihre Beweggründe für den Beitritt nur oberflächlich und wenig überzeugend habe darlegen können. Auf Fragen betreffend die Glaubensgemeinschaft habe sie nur vage, allgemein und teilweise abschweifend antworten können und sie scheine grundlegende Fakten nicht zu kennen. Insgesamt verfüge sie nur über beschränkte Kenntnisse. Auch seien die Aussagen zur Glaubensausübung und entsprechenden Bedrohungslage in mehreren Punkten widersprüchlich und realitätsfremd ausgefallen. Vor dem Hintergrund, dass die Glaubenstreffen gemäss ihren Aussagen im Geheimen hätten abgehalten werden müssen, sei es etwa nicht plausibel, dass sich die Glaubensgenossen als Versammlungsort die Wohnung einer Gläubigen ausgewählt hätten, obwohl man Kenntnis davon gehabt habe, dass deren Tochter den Glauben ablehne. Dies erscheine umso ungewöhnlicher, als die Beschwerdeführerin zuvor noch zu Protokoll gegeben habe, dass die Treffen nur bei jenen Glaubensgenossen abgehalten würden, deren Familienangehörige ebenfalls gläubig seien oder zumindest keine Probleme verursachten. Nicht nachvollziehbar sei sodann, dass die Tochter noch bevor sie überhaupt gewusst habe, was sich in der Wohnung abspiele, bereits die Polizei verständigt haben solle. Unklar bleibe auch, wie die Polizei überhaupt auf den Namen und die Adresse der Beschwerdeführerin habe stossen können, nachdem gemäss ihrer Aussage nur die Anführerin den richtigen Namen gekannt habe und sie untereinander einzig Pseudonyme verwendet sowie ihre Adressen verschwiegen hätten. Schliesslich erstaune es, dass die Beschwerdeführerin die Tatsache, dass zwei Glaubensgenossen verhaftet worden seien, erst bei der Anhörung zu Protokoll gegeben und bei der BzP noch unerwähnt gelassen habe. Insgesamt seien die geltend gemachten Ereignisse vom Februar 2015 sowie die anschliessende behördliche Suche unglaubhaft, was durch die Tatsache bestärkt werde, dass die Beschwerdeführerin problemlos mit ihrem eigenen Pass habe ausreisen können.</w:t>
      </w:r>
    </w:p>
    <w:p>
      <w:r>
        <w:rPr>
          <w:b/>
        </w:rPr>
        <w:t>E. 5.2</w:t>
      </w:r>
    </w:p>
    <w:p>
      <w:r>
        <w:t>Das Bundesverwaltungsgericht teilt die Einschätzung des SEM, das sich in der angefochtenen Verfügung ausführlich mit den zahlreichen Ungereimtheiten bezüglich der angeblichen Religionszugehörigkeit und der geltend gemachten behördlichen Suche auseinandersetzt und kommt zum Schluss, dass die Vorinstanz, die Vorbringen der Beschwerdeführerin zu Recht als unglaubhaft erachtet hat. Die Einwände in der Rechtsmitteleingabe vom 11. März 2016 vermögen - wie nachgehend aufzuzeigen ist und soweit sie nicht ohnehin aus Wiederholungen des bereits vor der Vorinstanz Vorgebrachten bestehen - an dieser Einschätzung nichts zu ändern.</w:t>
      </w:r>
    </w:p>
    <w:p>
      <w:r>
        <w:rPr>
          <w:b/>
        </w:rPr>
        <w:t>E. 5.2.1</w:t>
      </w:r>
    </w:p>
    <w:p>
      <w:r>
        <w:t>Das Bundesverwaltungsgericht stützt insbesondere die Ansicht des SEM, dass die Ausführungen der Beschwerdeführerin zur vorgebrachten Glaubensgruppierung oberflächlich ausgefallen seien und von ihr fundiertere Kenntnisse zur Religionsgemeinschaft, der sie angehören will, zu erwarten gewesen wären. Der diesbezügliche Einwand der Beschwerdeführerin - "aus Eigenschutz" herrsche eine Kultur des "Nichtwissens über den Aufbau der Religionsgemeinschaft" und über den Gründer sei insgesamt wenig bekannt (vgl. Beschwerde vom 11. März 2016, S. 5) - vermag, zumal angesichts des hohen Bildungsstandes der Beschwerdeführerin -, nicht zu überzeugen. So ist sie zwar im Stande gewisse Elemente des Glaubens wiederzugeben (vgl. z.B. A9/37 F111, F154 ff.), soweit die Ausführungen jedoch die wesentliche Frage betreffen, wie sich der Glaube im Alltag niedergeschlagen habe, bleiben die Ausführungen unsubstantiiert und weisen keinen lebensnahen Bezug auf. Diesbezüglich gab die Beschwerdeführerin etwa zu Protokoll, die Merkmale des Glaubens seien "nur die Versammlungen" gewesen, wo man "Psalme gesungen", "zusammen gebetet und Texte gelesen" habe (vgl. A9/37 F132), was in dieser allgemeinen Form auf Praktiken diversester Religionen zutreffen könnte. Auch weitere Beschreibungen zur Glaubensausübung wirken fern von tatsächlich gelebter Religion (vgl. z.B. A9/37 F108). Nicht erklärbar ist sodann, dass die Beschwerdeführerin trotz zahlreichen Fragen seitens der Sachbearbeiterin des SEM zur Glaubensrichtung (vgl. insb. A9/37 F113 ff. und F164 ff.) nicht erwähnt, dass die vorgebrachte Religionsgemeinschaft auf der Ansicht gründet, dass Jesus in der Form einer (...) auf die Welt gekommen sei (vgl. [...], 2015, S. 1). Ihre diesbezüglichen Ausführungen sowie ihr Versuch, die Wissenslücke auf Beschwerdeebene zu erklären, überzeugen nicht (vgl. A9/37 F 165; Beschwerde S. 5).</w:t>
      </w:r>
    </w:p>
    <w:p>
      <w:r>
        <w:rPr>
          <w:b/>
        </w:rPr>
        <w:t>E. 5.2.2</w:t>
      </w:r>
    </w:p>
    <w:p>
      <w:r>
        <w:t>Bezüglich der vom SEM zu Recht aufgezeigten Ungereimtheit in Bezug auf das Beitrittsdatum zur Glaubensgemeinschaft, wonach die Beschwerdeführerin gemäss Aussage bei der BzP seit September 2013, gemäss Aussage in der Anhörung seit März 2013 Mitglied der E._______-Gemeinschaft sei, fällt auf, dass die Beschwerdeführerin sich auf Rechtsmittelstufe noch in eine weitere Widersprüchlichkeit verstrickt. Gab sie im Rahmen der Anhörung noch an, der richtige Beitritt sei eben erst im September 2013 erfolgt, erst da habe sie nämlich angefangen, an Versammlungen teilzunehmen und zuvor habe sie nur mit ihrer Mutter zu Hause gesprochen und gelesen (vgl. A9/37 F260 f.), führt sie in der Rechtsmitteleingabe diesbezüglich aus, in der ersten Phase (nun plötzlich ab Mai 2013 und nicht mehr März 2013) gehe es darum, abzuklären, wie loyal eine Person zum Glauben stehe, in dieser Zeit sei es aber möglich, an Versammlungen teilzunehmen (vgl. Beschwerde S. 5). Vor dem Hintergrund, dass die Beschwerdeführerin die Genesung ihrer Tochter von ihrem früheren Herzleiden (im Jahr [...] also) auch auf Beschwerdestufe als "Schlüsselmoment" nennt, das ihr hinsichtlich ihres Glaubens Gewissheit gegeben habe, erhellt noch immer nicht, weshalb sie sich dann erst 2013 intensiver mit dem Glauben zu beschäftigen begann. Was der Einwand, die Mutter habe damals gebetet und nicht sie selbst, diesbezüglich zu bewirken vermöchte, ist nicht ersichtlich und der Vorhalt des SEM, es sei der Beschwerdeführerin nicht gelungen, ihre Motivation zum Glaubensbeitritt zu erklären, ist entsprechend berechtigt.</w:t>
      </w:r>
    </w:p>
    <w:p>
      <w:r>
        <w:rPr>
          <w:b/>
        </w:rPr>
        <w:t>E. 5.2.3</w:t>
      </w:r>
    </w:p>
    <w:p>
      <w:r>
        <w:t>Nicht schlüssig sind aber auch die Angaben der Beschwerdeführerin zu den Orten, wo die Versammlungen der Glaubensgemeinschaft stattgefunden haben sollen. So überzeugt es nicht, wenn die Beschwerdeführerin einerseits sagt, man sei so vorsichtig gewesen, dass die Teilnehmenden selbst die jeweiligen Adressen nicht gekannt hätten (vgl. A9/37 F 138; wie sie so an den richtigen Ort gelangt ist, ist im Übrigen ebenfalls fraglich) sowie man habe einzig Orte ausgewählt, wo sämtliche Familienmitglieder loyal gegenüber diesem Glauben gewesen seien (vgl. A9/37 F119) und andererseits die Versammlungen gerade mehrmals in der Wohnung einer Glaubensschwester stattgefunden haben sollen, deren Tochter und Ehemann beide Mitglieder der (...) gewesen seien (vgl. A9/37 F86). Auf Beschwerdeebene weist die Beschwerdeführerin gerade noch daraufhin, es sei bekannt gewesen, dass die Tochter dieser Glaubensschwester offen gegen diese religiöse Gruppierung eingestellt gewesen sei und sie habe mehrmals versucht, ihre Mutter vom Glauben abzubringen (vgl. Beschwerde S. 6), womit sie sich bezüglich den angeblich getroffenen Sicherheitsvorkehrungen weiter widerspricht. Unterschiedliche Darstellungen macht die Beschwerdeführerin im Übrigen auch dazu, wie die Flucht aus der Wohnung am (...) möglich gewesen sei, wobei es sich erübrigt im Einzelnen darauf einzugehen (vgl. etwa A3/1 F. 7.01 im Gegensatz zu A9/37 F86, F183). In Bezug auf die vom SEM aufgeworfenen Zweifel, wie es der Polizei - vor dem Hintergrund, dass einzig Pseudonyme verwendet worden und keine weiteren Informationen über die Glaubensgenossen bekannt gewesen seien - überhaupt möglich gewesen sei, an den Namen und die Adresse der Beschwerdeführerin zu kommen, räumt diese in der Rechtsmitteleingabe im Übrigen selbst ein, es könne sein, dass die Behörden nur ihren Decknamen kennen würden (vgl. Beschwerde S. 6), was indes mit den restlichen Vorbringen - vorab den Besuchen bei ihr zu Hause sowie der angeblichen Veröffentlichung der Namen der Glaubensgenossen ­- nicht in Übereinstimmung zu bringen ist. Der Beschwerdeführerin gelingt es insgesamt nicht, den Vorfall vom (...) und die anschliessende Suche durch die Polizei glaubhaft zu machen. Dass die Beschwerdeführerin die Aufmerksamkeit der heimatlichen Behörden nicht auf sich gezogen hat, bestätigt sich sodann in ihrer problemlosen legalen Ausreise aus China, wie das SEM zu Recht festgestellt hat. Die diesbezüglichen Einwände auf Beschwerdestufe überzeugen nicht, zumal sie gerade noch betont, die Behörden verfügten über ihr Bild; warum sie dann trotzdem problemlos hat ausreisen können und dieser Umstand erst bei der Wiedereinreise problematisch sein sollte, erhellt nicht.</w:t>
      </w:r>
    </w:p>
    <w:p>
      <w:r>
        <w:rPr>
          <w:b/>
        </w:rPr>
        <w:t>E. 5.3</w:t>
      </w:r>
    </w:p>
    <w:p>
      <w:r>
        <w:t>Massgeblich für die Beurteilung der Flüchtlingseigenschaft nach Art. 3 AsylG ist indessen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(vgl. E. 4.1). Soweit die Beschwerdeführerin geltend macht, sie sei aufgrund der Asylgesuchstellung in der Schweiz sowie der verspäteten - nach Ablauf der Gültigkeit ihres Visums stattfindenden - Rückreise in flüchtlingsrechtlich relevanter Weise gefährdet, ist zum einen nicht ersichtlich, wie die chinesischen Behörden von der Asylgesuchstellung überhaupt Kenntnis erhalten sollten. Im Übrigen ist, nachdem die geltend gemachten Vorfluchtgründe sich als unglaubhaft erwiesen haben, nicht davon auszugehen, dass die Beschwerdeführerin bei ihrer Rückkehr alleine wegen der verspäteten Rückreise mit flüchtlingsrechtlich relevanten Nachteilen zu rechnen hätte.</w:t>
      </w:r>
    </w:p>
    <w:p>
      <w:r>
        <w:rPr>
          <w:b/>
        </w:rPr>
        <w:t>E. 5.4</w:t>
      </w:r>
    </w:p>
    <w:p>
      <w:r>
        <w:t>Zusammenfassend ist das SEM zu Recht zum Schluss gelangt, im Fall der Beschwerdeführerin liege keine begründete Furcht vor Verfolgung vor. Das SEM hat ihre Flüchtlingseigenschaft demzufolge zu Recht verneint und ihr Asylgesuch abgelehnt.</w:t>
      </w:r>
    </w:p>
    <w:p>
      <w:r>
        <w:rPr>
          <w:b/>
        </w:rPr>
        <w:t>E. 6.1</w:t>
      </w:r>
    </w:p>
    <w:p>
      <w:r>
        <w:t>Lehnt das Staatssekretariat das Asylgesuch ab oder tritt es darauf nicht ein, so verfügt es in der Regel die Wegweisung aus der Schweiz und ordnet den Vollzug an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China ist demnach unter dem Aspekt von Art. 5 AsylG recht­mässig. Sodann ergeben sich weder aus den Aussagen der Beschwerdefüh­rerin noch aus den Akten Anhaltspunkte dafür, dass sie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China lässt den Wegwei­sungsvollzug zum heutigen Zeitpunkt schliesslich nicht landesweit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oder medizinischer Notlage konkret gefährdet sind. Weder die allgemeine Lage in China noch individuelle Gründe lassen vorliegend jedoch auf eine konkrete Gefährdung der Beschwerdeführerin im Falle einer Rückkehr dorthin schliessen, zumal diese gut gebildet ist und in ihrem Heimatland über ein soziales Netzwerk verfügt. Der Vollzug der Wegweisung ist somit zu­mutbar.</w:t>
      </w:r>
    </w:p>
    <w:p>
      <w:r>
        <w:rPr>
          <w:b/>
        </w:rPr>
        <w:t>E. 7.4</w:t>
      </w:r>
    </w:p>
    <w:p>
      <w:r>
        <w:t>Die Beschwerdeführerin hat einen authentischen Reisepass zu den Akten gegeben, der bis am (...) gültig ist, weshalb auch in technischer Hinsicht kein Wegweisungsvollzugshindernis ersichtlich ist. Der Vollzug der Wegweisung ist folglich auch als mög­lich zu bezeich­nen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Ausführungen ergibt sich, dass die angefochtene Verfügung rechtmässig und, soweit überprüfbar, angemessen ist. Die Beschwerde ist abzuweisen.</w:t>
      </w:r>
    </w:p>
    <w:p>
      <w:r>
        <w:rPr>
          <w:b/>
        </w:rPr>
        <w:t>E. 9</w:t>
      </w:r>
    </w:p>
    <w:p>
      <w:r>
        <w:t>Bei diesem Ausgang des Verfahrens wären die Kosten grundsätzlich der Beschwerdeführerin aufzuerlegen (Art. 63 Abs. 1 VwVG). Da das Bundesverwaltungsgericht das Gesuch der Beschwerdeführerin um Erlass der Verfahrenskosten mit Zwischenverfügung vom 24. März 2016 guthiess und keine Veränderung ihrer finanziellen Verhältnisse ersichtlich ist, sind indes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