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E-1552/2016 vom 23. März 2016</w:t>
      </w:r>
    </w:p>
    <w:p>
      <w:r>
        <w:t>Bundesverwaltungsgericht, 2016-03-23, DE</w:t>
      </w:r>
    </w:p>
    <w:p>
      <w:r>
        <w:rPr>
          <w:b/>
        </w:rPr>
        <w:t xml:space="preserve">Quelle: </w:t>
      </w:r>
      <w:r>
        <w:t>https://mcp.opencaselaw.ch/entscheid/bvger_E-1552_2016</w:t>
      </w:r>
    </w:p>
    <w:p>
      <w:r>
        <w:t>FR: TAF E-1552/2016 du 23 mars 2016</w:t>
      </w:r>
    </w:p>
    <w:p>
      <w:r>
        <w:t>IT: TAF E-1552/2016 del 23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Die Vorinstanz hat die fehlende Asylrelevanz und den Massstab des Glaubhaftmachens nicht verkannt und auf den vorliegenden Fall korrekt angewendet. Die Beschwerdeführenden setzen sich mit der vorinstanzlichen Beweiswürdigung nicht auseinander und zeigen nicht auf, inwiefern sie Bundesrecht verletzen oder zu einer rechtsfehlerhaften Sachverhaltsfeststellung führen soll. Solches ist auch nicht ersichtlich. So schildert der Beschwerdeführer 1 auf die Frage, weshalb er ausgereist sei, ausschliesslich die Probleme mit dem Islamisten (SEM-Akten, A46, S. 4 f.). Die anschliessende Frage, ob dies alle Gründe seien, bejaht er (SEM-Akten, A46, S. 4). Seine Ausführungen zum Islamisten und den Gesprächen mit ihm sind jedoch stereotyp und lassen nicht auf einen erlebten Sachverhalt schliessen (SEM-Akten, A46, insb. S. 8 und S. 10). Sodann will er "viel über diese Gruppierung erfahren" haben, muss aber die Fragen hierzu mit "ich weiss es nicht genau", "ich habe keine Informationen darüber" beantworten (SEM-Akten, A46, S. 4 und S. 8). Auch die massive Drohung der Islamisten (Entführung der Tochter, Vernichtung der gesamten Familie, Ermordung des Beschwerdeführers 1 "und zwar nicht nur in diesem Viertel", sondern überall in Bangladesch) scheint weit hergeholt (SEM-Akten, A46, S. 4, S. 8 und S. 10). Dies erst recht, weil nicht nachvollziehbar ist, weshalb die Islamisten gerade den Beschwerdeführer rekrutieren sollten. Trotz seiner Bestätigung, nur wegen der Probleme mit den Islamisten ausgereist zu sein, will er im weiteren Verlauf der Zweitbefragung auch wegen seiner Mitgliedschaft bei der Bangladesh Nationalist Party (BNP) und der Organisationshilfe von Veranstaltungen von der Polizei gesucht worden sein. Hierzu weiss er jedoch nicht, wie oft und wann das genau gewesen sein soll (SEM-Akten, A46, S. 6 und S. 9). Der Polizei ist es offenbar ein halbes Jahr nicht gelungen, den Beschwerdeführer 1 zu fassen (SEM-Akten, A46, S. 5, insb. F31). Die Polizei hat auch nicht erklärt, weshalb sie ihn sucht (beispielsweise SEM-Akten, A46, S. 9, insb. F86 ff.). Folglich wären die Beschwerdeführenden 1-3 rein aufgrund von Annahmen vor der Polizei geflohen. Zu den Suchaktionen sagt der Beschwerdeführer 1 "nachts sind sie nie gekommen" und seine Frau "sie kamen auch nachts" (SEM-Akten, A46, S. 6 und SEM-Akten, A47, S. 5). Obwohl seine Frau bei den Polizeibesuchen zu Hause gewesen sein will, gelingt es ihr nicht, Fragen hierzu zu beantworten (SEM-Akten, A47, S. 6, insb. F48 f.). Es ist ferner offensichtlich unglaubhaft, dass wenn eine Familie ausreist, weil sie aufgrund politischer Tätigkeiten von der Polizei gesucht wird, über diese politischen Tätigkeiten und Probleme nicht miteinander spricht, sodass die Beschwerdeführerin 2 keine Angaben hierzu machen kann (SEM-Akten, A47, S. 4 und S. 6). Namentlich hält die Vorinstanz zu Recht fest, dass eine Person, die wirklich aufgrund ihrer politischen Tätigkeiten verfolgt wird, sich nicht unglaubhafter Vorbringen - wie etwa dem Rekrutierungsversuch der Islamisten - bedient (angefochtene Verfügung S. 4). Auf Beschwerdeebene werden dem lediglich Schriftstücke auf fremden Sprachen und ein Arztbericht entgegengestellt und geltend gemacht, diese würden beweisen, dass der Beschwerdeführer 1 Mitglied der BNP gewesen sei und asylrelevant verfolgt werde; die Papiere seien zu übersetzten. Nach Art. 33a Abs. 4 VwVG kann eine Übersetzung angeordnet werden, wo dies nötig ist. Die Nationalität der Beschwerdeführenden wird zu keinem Zeitpunkt des Verfahrens in Frage gestellt, mithin erübrigt sich eine Übersetzung der Kopien der Geburtsurkunden und der "Nationality Certificates". Der Arztbericht ist in einer Amtssprache verfasst und ist unter Erwägung 6.3 zu würdigen. Angesichts des Beweisergebnisses ist eine Übersetzung der übrigen vier Schriftstücke im vorliegenden Fall entbehrlich. So fallen die Vorbringen der Beschwerdeführenden dermassen unglaubhaft aus, dass weitere Beweismittel das Beweisergebnis nicht zu ändern vermögen. Es ist auch nicht ersichtlich, weshalb den Beschwerdeführern nun plötzlich diese "Haftbefehle mit langer Begründung" (Beschwerde S. 2) vorliegen sollen, wollen sie doch gemäss ihren Aussagen von der Polizei nichts Schriftliches erhalten haben (SEM-Akten, A46, S. 9). Die Schriftstücke haben - im Lichte der offensichtlichen Unglaubwürdigkeit der Beschwerdeführenden - keinen Beweiswert. Reine Gefälligkeitsschreiben sind in Bangladesch verbreitet und Schriftstücke beziehungsweise Urkunden können dort käuflich erworben werden und sind leicht fälschbar. Im Übrigen wird eine Mitgliedschaft bei der BNP sowieso nicht in Frage gestellt. Die Vorinstanz erkennt, dass der Beschwerdeführer 1 aufgrund seiner politischen Aktivitäten - einfaches Mitglied, Hilfe bei Veranstaltungen - keine begründete Furcht vor asylrelevanter Verfolgung haben kann (angefochtene Verfügung S. 4). In antizipierter Beweiswürdigung ist folglich auf die Abnahme der Beweismittel zu verzichten. Um Wiederholungen zu vermeiden, kann auf die zutreffenden vorinstanzlichen Ausführungen verwiesen werden. Die Vorinstanz hat die Asylgesuche zu Recht abgelehnt.</w:t>
      </w:r>
    </w:p>
    <w:p>
      <w:r>
        <w:rPr>
          <w:b/>
        </w:rPr>
        <w:t>E. 5</w:t>
      </w:r>
    </w:p>
    <w:p>
      <w:r>
        <w:t>Gemäss Art. 44 AsylG verfügt das SEM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Aufgrund der Akten liegen keine konkreten Anhaltspunkte dafür vor, dass den Beschwerdeführenden für den Fall einer Ausschaffung in den Heimatstaat dort mit beachtlicher Wahrscheinlichkeit einer nach Art. 3 EMRK oder Art. 1 FoK verbotenen Strafe oder Behandlung ausgesetzt wären.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im Heimatstaat (vgl. BVGE 2010/8 E. 9.5 sowie Urteil D 3778/2013 vom 16. Juli 2013 E. 8.4) noch individuelle Gründe lassen den Wegweisungsvollzug vorliegend unzumutbar erscheinen. So leben die Eltern, alle Geschwister und weitere Verwandten des Beschwerdeführers 1 in Bangladesch (SEM-Akten, A20, S. 5). Dasselbe gilt - bis auf ihren Bruder - für die Beschwerdeführerin 2 (SEM-Akten, A21, S. 5). Mithin finden sie dort ein solides, tragfähiges Beziehungsnetz vor. Auf Beschwerdeebene wird lediglich ein unerwähnter Arztbericht betreffend Beschwerdeführer 4 beigelegt. Gemäss diesem sei nach der Geburt eine Hydronephrose festgestellt worden, weshalb weitere Abklärungen stattgefunden hätten. Die letzte Abklärung vom 18. November 2015 sei unauffällig ausgefallen und die Prophylaxe sei nun nicht mehr indiziert (Arztbericht, S. 1 f.). Weitere medizinische Gründe wurden keine geltend gemacht. Solche sind auch nicht ersichtlich. Den aktenkundigen Arztberichten ist offensichtlich keine medizinische Notlage zu entnehmen (insb. SEM-Akten, A58). Indem auf Beschwerdeebene nur noch ein Arztbericht betreffend Beschwerdeführer 4 eingereicht wird, ist ferner davon auszugehen, dass der bereits im August 2015 verzeichnete Heilungsprozess der Beschwerdeführerin 3 weiterhin positiv verlaufen ist. Im Übrigen ist in Bangladesch eine entsprechende qualitativ gute medizinische Infrastruktur vorhanden, die in Städten wie Dhaka sogar dem westeuropäischen Standard entsprechen kann (hierzu Urteil des BVGer E-7153/2014 vom 1. Mai 2015 E. 6.2). Der Vollzug der Wegweisung ist zumutbar.</w:t>
      </w:r>
    </w:p>
    <w:p>
      <w:r>
        <w:rPr>
          <w:b/>
        </w:rPr>
        <w:t>E. 6.4</w:t>
      </w:r>
    </w:p>
    <w:p>
      <w:r>
        <w:t>Der Vollzug der Wegweisung in den Heimatstaat ist schliesslich auch möglich, da keine Vollzugshindernisse bestehen (Art. 83 Abs. 2 AuG) und es den Beschwerdeführenden obliegt, bei der Beschaffung gültiger Reisepapiere mitzuwirken (vgl. Art. 8 Abs. 4 AsylG und dazu auch BVGE 2008/34 E. 12).</w:t>
      </w:r>
    </w:p>
    <w:p>
      <w:r>
        <w:rPr>
          <w:b/>
        </w:rPr>
        <w:t>E. 7</w:t>
      </w:r>
    </w:p>
    <w:p>
      <w:r>
        <w:t>Aus diesen Erwägungen ergibt sich, dass die angefochtene Verfügung Bundesrecht nicht verletzt und auch sonst nicht zu beanstanden ist (Art. 106 AsylG; Art. 49 VwVG). Die Beschwerde ist abzuweisen.</w:t>
      </w:r>
    </w:p>
    <w:p>
      <w:r>
        <w:rPr>
          <w:b/>
        </w:rPr>
        <w:t>E. 8</w:t>
      </w:r>
    </w:p>
    <w:p>
      <w:r>
        <w:t>Bei diesem Ausgang des Verfahrens sind die Kosten von Fr. 600.-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