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E-1552/2013 vom 2. April 2013</w:t>
      </w:r>
    </w:p>
    <w:p>
      <w:r>
        <w:t>Bundesverwaltungsgericht, 2013-04-02, DE</w:t>
      </w:r>
    </w:p>
    <w:p>
      <w:r>
        <w:rPr>
          <w:b/>
        </w:rPr>
        <w:t xml:space="preserve">Quelle: </w:t>
      </w:r>
      <w:r>
        <w:t>https://mcp.opencaselaw.ch/entscheid/bvger_E-1552_2013</w:t>
      </w:r>
    </w:p>
    <w:p>
      <w:r>
        <w:t>FR: TAF E-1552/2013 du 2 avril 2013</w:t>
      </w:r>
    </w:p>
    <w:p>
      <w:r>
        <w:t>IT: TAF E-1552/2013 del 2 aprile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gab an, am (...) geboren und somit zum Zeitpunkt der Befragungen und des Asylentscheides noch minderjährig gewesen zu sein. Damit würde er grundsätzlich den Normen des Übereinkommens vom 20. November 1989 über die Rechte der Kinder (KRK, SR 0.107) unterliegen.</w:t>
      </w:r>
    </w:p>
    <w:p>
      <w:r>
        <w:rPr>
          <w:b/>
        </w:rPr>
        <w:t>E. 4.2</w:t>
      </w:r>
    </w:p>
    <w:p>
      <w:r>
        <w:t>Gemäss Rechtsprechung ist bei der Prüfung der Altersangaben einer minderjährigen Person zunächst von allenfalls abgegebenen Identitätspapieren auszugehen, die objektive Beweislast für die behauptete Minderjährigkeit trägt die asylsuchende Person (vgl. Entscheidungen und Mitteilungen der Schweizerischen Asylrekurskommission [EMARK 2004 Nr. 30]). Bei Fehlen rechtsgenüglicher Identitätsausweise kann auch auf wissenschaftliche Methoden abgestellt werden (Art. 7 Abs. 1 der Asylverordnung 1 vom 11. August 1999 [AsylV 1, SR 142.311]).</w:t>
      </w:r>
    </w:p>
    <w:p>
      <w:r>
        <w:rPr>
          <w:b/>
        </w:rPr>
        <w:t>E. 4.3</w:t>
      </w:r>
    </w:p>
    <w:p>
      <w:r>
        <w:t>Das mittels Handknochenanalyse ermittelte Alter des Beschwerdeführers liegt bei (...) Jahren (...) Monaten oder mehr. Zwar kommt der radiografischen Untersuchung des Handknochens zur Bestimmung des tatsächlichen Alters einer Person nur beschränkten Aussagewert zu, da das Knochenwachstum - in einem nach ethnischer Herkunft und Geschlecht unterschiedlichen Mass - individuell variieren kann (vgl. EMARK 2001 Nr. 23 und EMARK 2000 Nr. 19). Die Abweichung von zweieinhalb bis drei Jahren zwischen dem Knochenalter und dem tatsächlichen Alter kann noch als innerhalb des Normalbereichs betrachtet werden. Das vorliegende Ergebnis vermag angesichts der erwähnten Standardabweichung und - nachdem mit der Analyse ein Skelettalter von (...) Jahren (...) Monaten oder mehr festgestellt worden war - die behauptete Minderjährigkeit juristisch zwar noch nicht zu widerlegen (vgl. EMARK 2004 Nr. 30 E. 6.2. S. 210); indessen belegt es aber mit hinreichender Sicherheit die Unrichtigkeit der Altersangabe des Beschwerdeführers, wonach er (...) Jahre alt sei (vgl. A17 F1.06). Darüber hinaus erscheinen auch die Angaben zu seinen Eltern und zum Verlust seiner Geburtsurkunde nicht zu überzeugen (vgl. A17 F 1.06, 3.01, A20 S. 1-3). Dem Beschwerdeführer ist es nicht gelungen, die geltend gemachte Minderjährigkeit bei der Befragung zur Person und anlässlich der Gewährung des rechtlichen Gehörs glaubhaft zu machen, weshalb das Vorgehen des BFM, dem Beschwerdeführer für die Anhörung keine Vertrauensperson beizuordnen, nicht zu beanstanden ist. Der Beschwerdeführer hat denn auch in seiner Rechtsmittelschrift den nachvollziehbaren Argumenten des BFM zur Unglaubhaftigkeit der Minderjährigkeit inhaltlich nichts entgegengesetzt und zur Widerlegung dieser Annahme auch keinen Nachweis erbracht. Er hat deshalb die Folgen der Beweislosigkeit zu tragen.</w:t>
      </w:r>
    </w:p>
    <w:p>
      <w:r>
        <w:rPr>
          <w:b/>
        </w:rPr>
        <w:t>E. 5.1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5.2</w:t>
      </w:r>
    </w:p>
    <w:p>
      <w:r>
        <w:t>Die Nichtabgabe von Reisepapieren im Sinne von Art. 32 Abs. 2 Bst. a AsylG innerhalb von 48 Stunden nach Einreichung des Asylgesuches ist vorliegend unbestritten. In der Rechtsmitteleingabe äussert sich der Beschwerdeführer nicht zu den diesbezüglichen vorinstanzlichen Erwägungen, sondern wiederholt nur, er sei in seinem Heimatland in Gefahr. Er macht keinerlei Anstalten, Identitätsdokumente oder seine Geburtsurkunde zu beschaffen oder Verwandte ausfindig zu machen, die ihm behilflich sein könnten (vgl. A17 F 3.01). Das Bundesverwaltungsgericht gelangt nach Durchsicht der Akten in Übereinstimmung mit dem BFM zum Schluss, dass keine entschuldbaren Gründe vorliegen, die es dem Beschwerdeführer verunmöglicht hätten, den Behörden Reise- oder Identitätsdokumente einzureichen. Es kann deshalb auf die zutreffende Begründung des BFM verwiesen werden.</w:t>
      </w:r>
    </w:p>
    <w:p>
      <w:r>
        <w:rPr>
          <w:b/>
        </w:rPr>
        <w:t>E. 5.3</w:t>
      </w:r>
    </w:p>
    <w:p>
      <w:r>
        <w:t>Der Beschwerdeführer hält auch den nachvollziehbaren Erwägungen der Vorinstanz, wonach er die Flüchtlingseigenschaft offensichtlich nicht erfülle, argumentativ nichts entgegen, sondern wiederholt in knappen Worten einzig seine bisherigen Äusserungen. Die Prüfung der Akten ergibt, dass das BFM zutreffend ausführte, der geschilderte Überfall stelle einen Straftatbestand dar, weshalb er sich auch an die Polizei hätte wenden und die Behörden um Schutz hätte ersuchen können. Es ging zu Recht von der Schutzfähigkeit und Schutzwilligkeit Weissrusslands aus und qualifizierte den Übergriff als asylrechtlich nicht relevant.</w:t>
      </w:r>
    </w:p>
    <w:p>
      <w:r>
        <w:rPr>
          <w:b/>
        </w:rPr>
        <w:t>E. 5.4</w:t>
      </w:r>
    </w:p>
    <w:p>
      <w:r>
        <w:t>Das Bundesamt hat somit zu Recht dem Beschwerdeführer die Flüchtlingseigenschaft nicht zuerkannt, und es waren und sind auch keine zusätzlichen Abklärungen zu deren Feststellung (oder zur Feststellung eines Wegweisungsvollzugshindernisses) vorzunehmen.</w:t>
      </w:r>
    </w:p>
    <w:p>
      <w:r>
        <w:rPr>
          <w:b/>
        </w:rPr>
        <w:t>E. 5.5</w:t>
      </w:r>
    </w:p>
    <w:p>
      <w:r>
        <w:t>Zusammenfassend ist festzustellen, dass die Vorinstanz zu Recht gestützt auf Art. 32 Abs. 2 Bst. a AsylG auf das Asylgesuch des Beschwerdeführers nicht eingetreten ist.</w:t>
      </w:r>
    </w:p>
    <w:p>
      <w:r>
        <w:rPr>
          <w:b/>
        </w:rPr>
        <w:t>E. 6</w:t>
      </w:r>
    </w:p>
    <w:p>
      <w:r>
        <w:t>Tritt das Bundesamt auf ein Asylgesuch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In Belarus herrscht keine Situation allgemeiner Gewalt. Der Beschwerdeführer macht keine individuellen Gründe geltend, welche auf eine konkrete Gefährdung bei einer Rückkehr schliessen lassen würden. Er ist jung und gesund und hat bisher sein gesamtes Leben in Belarus verbracht. Der Vollzug der Wegweisung erweist sich damit auch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bezeichnet.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