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E-1551/2010 vom 6. Juli 2012</w:t>
      </w:r>
    </w:p>
    <w:p>
      <w:r>
        <w:t>Bundesverwaltungsgericht, 2012-07-06, FR</w:t>
      </w:r>
    </w:p>
    <w:p>
      <w:r>
        <w:rPr>
          <w:b/>
        </w:rPr>
        <w:t xml:space="preserve">Quelle: </w:t>
      </w:r>
      <w:r>
        <w:t>https://mcp.opencaselaw.ch/entscheid/bvger_E-1551_2010</w:t>
      </w:r>
    </w:p>
    <w:p>
      <w:r>
        <w:t>FR: TAF E-1551/2010 du 6 juillet 2012</w:t>
      </w:r>
    </w:p>
    <w:p>
      <w:r>
        <w:t>IT: TAF E-1551/2010 del 6 luglio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2.3</w:t>
      </w:r>
    </w:p>
    <w:p>
      <w:r>
        <w:t>L'asile n'est pas accordé à la personne qui n'est devenue un réfugié au sens de l'art. 3 qu'en quittant son Etat d'origine ou de provenance ou en raison de son comportement ultérieur (art. 54 LAsi).</w:t>
      </w:r>
    </w:p>
    <w:p>
      <w:r>
        <w:rPr>
          <w:b/>
        </w:rPr>
        <w:t>E. 3.1</w:t>
      </w:r>
    </w:p>
    <w:p>
      <w:r>
        <w:t>En l'occurrence, il s'agit d'examiner si, en plus de la qualité de réfugié déjà reconnue par l'ODM sur la base de motifs subjectifs survenus après la fuite au sens de l'art. 54 LAsi, le recourant peut prétendre à l'octroi de l'asile pour des motifs antérieurs à son départ d'Erythrée. En effet, il a soutenu avoir été exposé à de sérieux préjudices lors de son service national actif pour des raisons religieuse et en craindre de nouveaux en raison de sa désertion.</w:t>
      </w:r>
    </w:p>
    <w:p>
      <w:r>
        <w:rPr>
          <w:b/>
        </w:rPr>
        <w:t>E. 3.2</w:t>
      </w:r>
    </w:p>
    <w:p>
      <w:r>
        <w:t>Il n'est pas crédible que, sanctionné en 2002 déjà pour ses prières et ses lectures et placé immédiatement sous la surveillance étroite du chef d'unité, il ait passé son temps libre dans la base militaire à la lecture, essentiellement de la Bible, jusqu'en (...) 2006. Sa situation de soldat s'adonnant à la lecture de la Bible s'accommode mal avec la répression de la pratique des religions non officiellement reconnues, menée depuis 2002 par les autorités érythréennes. Dans un tel contexte de répression, il n'est guère crédible qu'il n'ait jamais été interrogé durant sa détention alléguée de près d'un an et demi, pas même sur ses contacts au sein de l'Eglise Kale Hiwot et sur ses fournisseurs de Bibles. En outre, ses propos portant sur sa détention, d'abord à H._______ pendant près d'un an et demi, puis à J._______ durant trois jours, sont vagues et dénués de substance. Compte tenu des questions posées et au vu de son degré de scolarisation, on aurait pu s'attendre à ce qu'il fournisse un récit circonstancié et détaillé portant notamment sur les motifs de son arrestation, sur son arrivée à la prison militaire de H._______, sur les conditions de sa détention à H._______, sur ses relations avec son codétenu, sur les circonstances et les motifs de son transfert à J._______, sur les conditions de sa détention à J._______ et sur les circonstances de sa fuite. Or, il n'en est rien. En effet, ses déclarations selon lesquelles il aurait été surpris la veille de son arrestation en train de prier manquent de spontanéité, de précision et de constance. De plus, l'indigence de ses déclarations relatives à son codétenu n'est pas compatible avec un vécu durant près d'un an et demi confiné avec celui-ci dans une cellule. Il n'est de surcroît pas crédible que, placé en détention en raison de ses convictions religieuses, il ait pu passer tout son temps à prier ouvertement avec son codétenu, sans être inquiété. Par ailleurs, ses déclarations manquent de clarté sur le lieu (H._______ ou J._______) et le moment auquel il a été invité à abjurer sa foi, ainsi que sur le contenu de l'offre qui aurait accompagné cette invitation (cf. p-v de l'audition sur les motifs rép. 163 ss, p-v de l'audition sommaire p. 6, p-v de l'audition complémentaire rép. 72 ss). Enfin, ses déclarations relatives à sa fuite de J._______ ne sont guère convaincantes, eu égard à la facilité avec laquelle il se serait évadé.</w:t>
      </w:r>
    </w:p>
    <w:p>
      <w:r>
        <w:rPr>
          <w:b/>
        </w:rPr>
        <w:t>E. 3.3</w:t>
      </w:r>
    </w:p>
    <w:p>
      <w:r>
        <w:t>Les documents relatifs à l'amende de 50'000 nafkas infligée à son épouse ne sont, en soi, pas propres à attester du délit de désertion dont il a prétendu s'être rendu coupable. En effet, des amendes de ce montant sont infligées aussi bien aux familles de soldats ayant abandonné leur unité militaire qu'à celles de citoyens ayant quitté l'Erythrée sans autorisation. La pratique des autorités érythréennes n'est certes pas uniforme en ce qui concerne la communication de ces décisions (orale, écrite) et quant au contenu de ces décisions (en cas de communication écrite). Il n'en demeure pas moins que les documents produits ne mentionnent pas la désertion comme motif de l'amende, mais simplement un départ non autorisé du pays. De plus, dans ses deux écrits (un non daté et l'autre daté du 3 octobre 2011) versés à l'appui de la demande du 17 octobre 2011, l'épouse a mentionné comme cause de cette amende le départ du pays de son conjoint "en raison des répressions actuelles" et non la désertion de celui-ci concomitante à une évasion. En définitive, ces documents constituent plutôt l'indice d'un simple départ non autorisé dont, d'ailleurs, l'ODM a tenu compte en reconnaissant la qualité de réfugié au recourant pour des motifs subjectifs survenus après la fuite.</w:t>
      </w:r>
    </w:p>
    <w:p>
      <w:r>
        <w:rPr>
          <w:b/>
        </w:rPr>
        <w:t>E. 3.4</w:t>
      </w:r>
    </w:p>
    <w:p>
      <w:r>
        <w:t>Le Tribunal a déjà eu l'occasion de préciser que, selon la proclamation n° 82 de 1995 sur le service national, publiée dans la "Gazette érythréenne" n° 11 du 23 octobre 1995, la notion de service national englobe celles de service national actif et de service militaire de réserve. Le service national actif se compose d'une formation de base de six mois et d'un service actif de douze mois, militaire ou civil. Sa durée a été prolongée depuis le conflit survenu en mai 1998 entre l'Erythrée et l'Ethiopie. Les Erythréens sont engagés depuis lors pour un délai indéterminé. Après avoir accompli leur service national actif, ils restent astreint au service militaire de réserve jusqu'à l'âge de 54 ans (47 ans pour les femmes) et peuvent être appelés en tout temps (cf. arrêt du Tribunal E-3110/2008 du 15 avril 2011 consid. 3.2.1). Certes, le recourant a fourni des documents attestant de l'accomplissement du service national actif du (...) 2000 au (...) 2002. Toutefois, ces documents n'établissent en rien les circonstances alléguées de son départ d'Erythrée près de six ans plus tard. Du reste, son départ illégal du pays, en violation de ses probables devoirs de réserviste (cf. UNHCR The UN Refugee Agency, UNHCR Eligibility guidelines for assessing the international protection needs of asylum-seekers from Eritrea, April 2009, p. 20), a été pris en considération par l'ODM, lequel lui a, comme déjà dit, reconnu la qualité de réfugié pour des motifs postérieurs (cf. art. 3 et 54 LAsi).</w:t>
      </w:r>
    </w:p>
    <w:p>
      <w:r>
        <w:rPr>
          <w:b/>
        </w:rPr>
        <w:t>E. 3.5</w:t>
      </w:r>
    </w:p>
    <w:p>
      <w:r>
        <w:t>Enfin, des arrestations et détentions de soldats érythréens dans des lieux souterrains pour avoir pratiqué leur religion durant leur service national ont certes été dénoncées (cf. Human Rights Watch, Service for life, State Repression and Indefinite Conscription in Eritrea, April 2009, p. 61 s. ; OSAR, Erythrée : Service militaire et désertion, 23 février 2009, p. 15 et 17 ; Amnesty International, Urgent action, Gewaltlose politische Gefangene, 17 février 2006, AI Index : AFR 64/001/2006 ; Amnesty International, Eritrea, Religious Persecution, December 2005, AI Index : AFR 64/013/2005, p. 17 ; voir également UNHCR The UN Refugee Agency, op. cit., p. 25). Toutefois, cette pratique répressive n'est pas un élément suffisant pour admettre la vraisemblance du récit du recourant, eu égard aux nombreux éléments d'invraisemblance relevés aux consid. 3.2 et 3.3 ci-avant.</w:t>
      </w:r>
    </w:p>
    <w:p>
      <w:r>
        <w:rPr>
          <w:b/>
        </w:rPr>
        <w:t>E. 3.6</w:t>
      </w:r>
    </w:p>
    <w:p>
      <w:r>
        <w:t>Au vu de ce qui précède, le recourant n'a rendu vraisemblable ni son emprisonnement pour des raisons religieuses durant son service actif, ni sa désertion, ni les circonstances de celle-ci. Il n'a donc pas rendu vraisemblables, au sens de l'art. 7 LAsi, des motifs d'asile au sens de l'art. 3 LAsi antérieurs à son départ d'Erythrée et en lien de causalité temporel avec celui-ci. Partant, le refus de l'asile est justifié.</w:t>
      </w:r>
    </w:p>
    <w:p>
      <w:r>
        <w:rPr>
          <w:b/>
        </w:rPr>
        <w:t>E. 3.7</w:t>
      </w:r>
    </w:p>
    <w:p>
      <w:r>
        <w:t>Par conséquent, le recours doit être rejeté et la décision attaquée confirmée.</w:t>
      </w:r>
    </w:p>
    <w:p>
      <w:r>
        <w:rPr>
          <w:b/>
        </w:rPr>
        <w:t>E. 4</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La demande d'assistance judiciaire partielle devant toutefois être admise, il n'est pas perçu de frais (cf. art. 65 al. 1 PA).</w:t>
      </w:r>
    </w:p>
    <w:p>
      <w:r>
        <w:rPr>
          <w:b/>
        </w:rPr>
        <w:t>E. 5</w:t>
      </w:r>
    </w:p>
    <w:p>
      <w:r>
        <w:t>Au vu de l'issue de la cause, il n'y a pas lieu d'allouer de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