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E-154/2015 vom 25. Februar 2015</w:t>
      </w:r>
    </w:p>
    <w:p>
      <w:r>
        <w:t>Bundesverwaltungsgericht, 2015-02-25, DE</w:t>
      </w:r>
    </w:p>
    <w:p>
      <w:r>
        <w:rPr>
          <w:b/>
        </w:rPr>
        <w:t xml:space="preserve">Quelle: </w:t>
      </w:r>
      <w:r>
        <w:t>https://mcp.opencaselaw.ch/entscheid/bvger_E-154_2015</w:t>
      </w:r>
    </w:p>
    <w:p>
      <w:r>
        <w:t>FR: TAF E-154/2015 du 25 février 2015</w:t>
      </w:r>
    </w:p>
    <w:p>
      <w:r>
        <w:t>IT: TAF E-154/2015 del 25 febbraio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vorliegenden Beschwerde legitimiert (Art. 105 und 108 Abs. 2 AsylG; Art. 48 Abs. 1 sowie Art. 52 VwVG). Auf diese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Ausführungen in der Eingabe vom 27. Januar 2015 ist deshalb nicht einzugehen. Auf den sich daraus ergebenden sinngemässen Antrag um Gewährung von Asyl durch die Schweiz ist mithin nicht einzutreten.</w:t>
      </w:r>
    </w:p>
    <w:p>
      <w:r>
        <w:rPr>
          <w:b/>
        </w:rPr>
        <w:t>E. 3</w:t>
      </w:r>
    </w:p>
    <w:p>
      <w:r>
        <w:t>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den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vorliegenden Akten ist zu entnehmen, dass Italien der Beschwerdeführerin ein vom 1. Juni 2014 bis zum 13. September 2014 gültiges Schengenvisum ausstellte, mit welchem sie Ende Juni 2014 von Asmara nach Deutschland und anschliessend in die Schweiz reiste. Das BFM ersuchte die italienischen Behörden am 8. September 2014 um Aufnahme der Beschwerdeführerin gestützt auf Art. 12 Abs. 2 (i.V.m. Art. 21) Dublin-III-VO. Diese liessen das Übernahmeersuchen innert der in Art. 22 Abs. 1 Dublin-III-VO vorgesehenen Frist unbeantwortet, womit sie die Zuständigkeit zur Durchführung des Asylverfahrens der Beschwerdeführerin implizit anerkannten (Art. 22 Abs. 7 Dublin-III-VO) Die grundsätzliche Zuständigkeit Italiens ist somit gegeben.</w:t>
      </w:r>
    </w:p>
    <w:p>
      <w:r>
        <w:rPr>
          <w:b/>
        </w:rPr>
        <w:t>E. 5.2</w:t>
      </w:r>
    </w:p>
    <w:p>
      <w:r>
        <w:t>Im Lichte von Art. 3 Abs. 2 Dublin-III-VO ist weiter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Unter diesen Umständen ist die Anwendung von Art. 3 Abs. 2 Dublin-III-VO nicht gerechtfertigt.</w:t>
      </w:r>
    </w:p>
    <w:p>
      <w:r>
        <w:rPr>
          <w:b/>
        </w:rPr>
        <w:t>E. 5.3</w:t>
      </w:r>
    </w:p>
    <w:p>
      <w:r>
        <w:t>Ferner gibt es keinen Grund für die Anwendung der Ermessensklausel von Art. 17 Abs. 1 Dublin-III-VO.</w:t>
      </w:r>
    </w:p>
    <w:p>
      <w:r>
        <w:rPr>
          <w:b/>
        </w:rPr>
        <w:t>E. 5.3.1</w:t>
      </w:r>
    </w:p>
    <w:p>
      <w:r>
        <w:t>Die Beschwerdeführerin hat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w:t>
      </w:r>
    </w:p>
    <w:p>
      <w:r>
        <w:rPr>
          <w:b/>
        </w:rPr>
        <w:t>E. 5.3.2</w:t>
      </w:r>
    </w:p>
    <w:p>
      <w:r>
        <w:t>Die Beschwerdeführerin hat überdies keine konkreten Hinweise geltend gemacht für die Annahme, Italien würde dauerhaft die ihr gemäss Aufnahmerichtlinie zustehenden minimalen Lebensbedingungen vorenthalten. Asylsuchende wie auch anerkannte Flüchtlinge und Personen mit einem subsidiären Schutzstatus können in Italien zwar bei der Unterkunft, der Arbeit und der medizinischen Versorgung gewissen Schwierigkeiten ausgesetzt sein (vgl. EGMR, Mohammed Hussein und andere gegen die Niederlande und Italien [Appl. No. 27725/10], Urteil vom 2. April 2013, § 78 und EGMR, Tarakhel gegen die Schweiz [Appl. No. 29217/12], Urteil vom 4. November 2014 §§ 111-115). Im Bedarfsfall kann der Beschwerdeführerin jedoch zugemutet werden, sich an die in Italien zu­ständigen staatlichen Instanzen zu wenden. Private Hilfsorganisationen können ihr allenfalls bei der Einforderung ihrer Rechte behilflich sein.</w:t>
      </w:r>
    </w:p>
    <w:p>
      <w:r>
        <w:rPr>
          <w:b/>
        </w:rPr>
        <w:t>E. 5.3.3</w:t>
      </w:r>
    </w:p>
    <w:p>
      <w:r>
        <w:t>Mit ihrer Beschwerde sowie mit Eingabe vom 27. Januar 2015 reichte die Beschwerdeführerin verschiedene medizinische Unterlagen ein. Demnach unterzog sie sich am 23. Dezember 2014 einer Augenoperation ([...]) und musste anschliessend viermal täglich eine Augensalbe ([...]) anwenden. Über den weiteren Verlauf respektive benötigte Nachkontrollen machte sie - auch auf Aufforderung hin - keine weiteren Angaben. In der aktuellen ärztlichen Bestätigung vom 27. Januar 2015 finden sich diesbezüglich keine Hinweise, so dass von einem Abschluss der Behandlung ausgegangen werden kann. Derzeit nimmt die Beschwerdeführerin infolge (...),(...)und (...) ein Antidepressivum ([...]) sowie aufgrund eines Problems mit (...) ein krampflösendes Medikament ([...]). Zudem wurde ihr eine (...)crème ([...]) verschrieben. Der dargelegte medizinische Befund steht der Überstellung nach Italien ebenfalls nicht entgegen.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Die Beschwerdeführerin weist nicht nach, dass sie nicht reisefähig sei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allgemein bekannt, dass Italien über eine ausreichende medizinische Infrastruktur verfügt. Die Dublin-Mitgliedstaaten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Es liegen keine Hinweise vor, wonach Italien der Be-schwerdeführerin eine adäquate medizinische Behandlung verweigern würde. Die von ihr benötigten Medikamente sind (unter anderen Namen) in Italien erhältlich (vgl. bei­spielsweise [...] als Substitut für [...] [Wirkstoff (...)]: http://www.drugs.com/(...) und http://www.cercafarmaco.it/(...); [...] als Substitut für [...] [Wirkstoff (...)]: http://www.drugs. com/(...) und http://www.cercafarmaco.it/(...) sowie [...] als Substitut für [...] [Wirkstoff: (...)]: http:// www.drugs.com/(...) und http://www.cercafarmaco. it/[...]). Die schweizerischen Behörden, die mit dem Vollzug der angefochten Verfügung beauftragt sind, werden den medizinischen Umständen bei der Bestimmung der konkreten Modalitäten der Überstellung der Beschwerdeführerin Rechnung tragen (vgl. Art. 31 f. Dublin-III-VO).</w:t>
      </w:r>
    </w:p>
    <w:p>
      <w:r>
        <w:rPr>
          <w:b/>
        </w:rPr>
        <w:t>E. 5.3.4</w:t>
      </w:r>
    </w:p>
    <w:p>
      <w:r>
        <w:t>Zusammenfassend besteht auch unter Berücksichtigung des jüngsten Urteils des EGMR vom 4. November 2014 (vgl. a.a.O.), der erschwerten Umstände in Italien und der individuellen gesundheitlichen Situation der Beschwerdeführerin kein Anlass zur Annahme, diese würde nach der Überstellung nach Italien in eine existenzielle Notlage geraten.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Italien der für die Behandlung des Asylgesuchs der Beschwerdeführerin zuständige Mitgliedstaat gemäss Dublin-III-VO und ist verpflichtet, das Asylverfahren gemäss Art. 21, 22 und 29 aufzunehmen.</w:t>
      </w:r>
    </w:p>
    <w:p>
      <w:r>
        <w:rPr>
          <w:b/>
        </w:rPr>
        <w:t>E. 6</w:t>
      </w:r>
    </w:p>
    <w:p>
      <w:r>
        <w:t>Das BFM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soweit darauf einzutreten ist, und die vorinstanzliche Verfügung zu bestätigen.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