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E-1546/2018 vom 26. März 2018</w:t>
      </w:r>
    </w:p>
    <w:p>
      <w:r>
        <w:t>Bundesverwaltungsgericht, 2018-03-26, DE</w:t>
      </w:r>
    </w:p>
    <w:p>
      <w:r>
        <w:rPr>
          <w:b/>
        </w:rPr>
        <w:t xml:space="preserve">Quelle: </w:t>
      </w:r>
      <w:r>
        <w:t>https://mcp.opencaselaw.ch/entscheid/bvger_E-1546_2018</w:t>
      </w:r>
    </w:p>
    <w:p>
      <w:r>
        <w:t>FR: TAF E-1546/2018 du 26 mars 2018</w:t>
      </w:r>
    </w:p>
    <w:p>
      <w:r>
        <w:t>IT: TAF E-1546/2018 del 26 marzo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 im Sinne von Art. 33 VGG und damit eine Vorinstanz des Bundesverwaltungsgerichts. Eine das Sachgebiet betreffende Ausnahme im Sinne von Art. 32 VGG liegt nicht vor. Das Wiedererwägungsverfahren ist im Asylgesetz (AsylG, SR 142.31) ebenso wie das Verfahren im Zusammenhang eines Mehrfachgesuchs ausdrücklich erwähnt und spezialgesetzlich geregelt (vgl. Art. 110 Abs. 1 in fine, Art. 110a Abs. 2 und insbesondere Art. 111b und Art. 111c AsylG), womit das Bundesverwaltungsgericht für die Beurteilung der vorliegenden Beschwerde zuständig ist.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5).Weil Tat- und Rechtsfragen vom Bundesverwaltungsgericht mit voller Kognition überprüft werden können, kommt dem Willkürverbot (Art. 9 BV) im vorliegenden Verfahren keine eigenständige Bedeutung zu. Jede Verletzung des Willkürverbotes würde zugleich eine Verletzung einer anderen Rechtsnorm darstellen, so dass aus der Verneinung einer solchen Verletzung geschlossen werden kann, dass auch Art. 9 BV nicht verletzt ist. Der Beschwerdeführer beruft sich nur in Verbindung mit anderen Bestimmungen (Art. 3 und Art. 7 AsylG, Art. 3 EMRK) auf das Willkürverbot. Vor diesem Hintergrund enthält sich das Bundesverwaltungsgericht im Folgenden der Prüfung einer Verletzung von Art. 9 BV.</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w:t>
      </w:r>
    </w:p>
    <w:p>
      <w:r>
        <w:rPr>
          <w:b/>
        </w:rPr>
        <w:t>E. 4.2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5</w:t>
      </w:r>
    </w:p>
    <w:p>
      <w:r>
        <w:t>Vorab ist festzustellen, dass bezüglich des eingereichten Beweismittels von einem qualifizierten Wiedererwägungsgesuch auszugehen ist (vgl. dazu vorstehend E. 4.1), weil das eingereichte Militärdienstbüchlein angeblich am 18. März 2014 ausgestellt worden ist und es sich insofern um ein Dokument handelt, das zwar schon vor Erlass der unangefochten gebliebenen Verfügung des ordentlichen Asylverfahrens Bestand hatte, jedoch erst nachträglich beschafft werden konnte. Das Wiedererwägungsgesuch ist daher nach den Regeln des Revisionsverfahrens, insbesondere Art. 66 Abs. 2 VwVG, zu behandeln. Nach Art. 66 Abs. 2 VwVG liegen Revisionsgründe unter anderen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Zürich 2008, Art. 66 Rz. 16 f.).</w:t>
      </w:r>
    </w:p>
    <w:p>
      <w:r>
        <w:rPr>
          <w:b/>
        </w:rPr>
        <w:t>E. 5.1</w:t>
      </w:r>
    </w:p>
    <w:p>
      <w:r>
        <w:t>Die Vorinstanz begründet die angefochtene Verfügung im Wesentlichen damit, beim eingereichten Militärdienstbüchlein handle es sich nicht um ein erhebliches Beweismittel. Der Beschwerdeführer habe im ordentlichen Asylverfahren zu Protokoll gegeben, zunächst mündlich und am 1. September 2014 auch schriftlich aufgefordert worden zu sein, sich zur Ausstellung eines Militärdienstbüchleins beim örtlichen Rekrutierungsbüro zu melden. Dies stehe in Widerspruch zum nunmehr eingereichten Militärdienstbüchlein, wonach die Übergabe des Militärdienstbüchleins am 18. März 2014 im Rekrutierungszentrum C._______ stattgefunden habe. Hinzu komme, dass der Beschwerdeführer in der Befragung vom 13. November 2015 ausgesagt habe, keine weiteren Beweismittel zur Stützung seines Asylgesuchs zu besitzen. Aufgrund dieser Aussagen könne ihm nicht geglaubt werden, dass er ausgehoben worden sei. Deshalb sei auch die Echtheit des eingereichten Militärdienstbüchleins in Frage zu stellen.</w:t>
      </w:r>
    </w:p>
    <w:p>
      <w:r>
        <w:rPr>
          <w:b/>
        </w:rPr>
        <w:t>E. 5.2</w:t>
      </w:r>
    </w:p>
    <w:p>
      <w:r>
        <w:t>Der Beschwerdeführer vermag diese zutreffende Würdigung der Vor-instanz auch auf Beschwerdeebene nicht in Frage zu stellen. Seine Vorbringen erschöpfen sich im Wesentlichen in der Behauptung, in Syrien aufgrund seiner Ausreise als Wehrdienstverweigerer betrachtet und als solcher einer asylrechtsrelevanten Verfolgung ausgesetzt zu sein. Diese Behauptung ist auch deshalb unglaubhaft, weil er in der Anhörung im ordentlichen Asylverfahren äusserst diffuse Angaben zum angeblichen zeitlichen Ablauf seines Militärdienstaufgebots gemacht (vgl. A21/14, F 90-92) und keinerlei Hinweise auf eine bereits erfolgte Aushebung zu Protokoll gegeben hat.</w:t>
      </w:r>
    </w:p>
    <w:p>
      <w:r>
        <w:rPr>
          <w:b/>
        </w:rPr>
        <w:t>E. 5.3</w:t>
      </w:r>
    </w:p>
    <w:p>
      <w:r>
        <w:t>Sein Wiedererwägungsgesuch ist allerdings noch aus einem weiteren Grund als aussichtslos zu betrachten. Gemäss der Rechtsprechung des Bundesverwaltungsgerichts vermag eine Wehrdienstverweigerung oder Desertion für sich genommen die Flüchtlingseigenschaft nicht zu begründen, sondern nur, wenn damit eine Verfolgung im Sinne von Art. 3 Abs. 1 AsylG verbunden ist (BVGE 2015/3 E. 4.3-4.5; vgl. auch Urteil des BVGer D-4247/2015 vom 19. Mai 2016 E. 5.3). Das Bundesverwaltungsgericht hat diese Rechtsprechung für den syrischen Kontext dahingehend konkretisiert, dass die Furcht vor politisch motivierter Bestrafung im Falle einer Wehrdienstverweigerung oder Desertion insbesondere dann begründet ist, wenn sie vom staatlichen Regime als Unterstützung einer gegnerischen Konfliktpartei interpretiert wird. Eine asylrechtlich relevante Verfolgung liegt demzufolge nur vor, wenn eine Person aufgrund ihrer Dienstverweigerung als politischer Gegner qualifiziert und als solcher unverhältnismässig schwer bestraft würde; dies ist etwa zu bejahen, wenn eine Person zusätzlich zu ihrer Dienstverweigerung einer offen oppositionellen Familie entstammt oder bereits anderweitig ins Blickfeld der syrischen Behörden geraten ist (BVGE 2015/3 E. 6.7.3; vgl. auch Urteil des BVGer D-1980/2014 vom 9. Mai 2016 E. 5.4). Wie aus den Anhörungen im ordentlichen Asylverfahren hervorgeht, verfügt der Beschwerdeführer in keiner Art und Weise über ein besonderes Profil, das ihn ins Blickfeld der syrischen Behörden rücken würde. Auf verschiedene diesbezügliche Fragen hat er vielmehr zu Protokoll gegeben, weder selber in regimekritische Aktivitäten verstrickt gewesen zu sein, noch über Familienangehörige zu verfügen, die sich politisch besonders hervortun würden (vgl. A21/14, F 82 und F 109-117).</w:t>
      </w:r>
    </w:p>
    <w:p>
      <w:r>
        <w:rPr>
          <w:b/>
        </w:rPr>
        <w:t>E. 5.4</w:t>
      </w:r>
    </w:p>
    <w:p>
      <w:r>
        <w:t>Zusammenfassend ist festzustellen, dass es dem Beschwerdeführer nicht gelungen ist, neue Beweismittel oder Tatsachen vorzubringen, die aus objektiver Sicht geeignet sind, seine Flüchtlingseigenschaft glaubhaft zu machen. Die Vorinstanz hat das Wiedererwägungsgesuch des Beschwerdeführers unter vollständiger Abklärung des rechtserheblichen Sachverhalts zu Recht abgewiesen.</w:t>
      </w:r>
    </w:p>
    <w:p>
      <w:r>
        <w:rPr>
          <w:b/>
        </w:rPr>
        <w:t>E. 6</w:t>
      </w:r>
    </w:p>
    <w:p>
      <w:r>
        <w:t>Aus den vorangegangenen Erwägungen kann nicht geschlossen werden, der Beschwerdeführer sei angesichts der aktuellen Lage in Syrien dort nicht gefährdet. Eine solche Gefährdung ist aber nur unter dem Blickwinkel von Art. 83 Abs. 3 oder 4 AuG (SR 142.20) zu prüfen. Der Gefährdung des Beschwerdeführers aufgrund der aktuellen Situation in Syrien wurde durch das SEM mit der Anordnung der vorläufigen Aufnahme wegen Unzumutbarkeit des Wegweisungsvollzugs Rechnung getragen. Da die Wegweisungsvollzugshindernisse alternativer Natur sind (vgl. BVGE 2009/51 E. 5.4 S. 748), besteht kein schutzwürdiges Interesse an der Überprüfung, aus welchen Gründen die Vorinstanz den Vollzug aufgeschoben hat (Art. 48 Abs. 1 Bst. c VwVG). Auf die Rüge des Beschwerdeführers, durch die Verfügung der Vorinstanz drohe ihm eine Verletzung von Art. 3 EMRK, ist bei dieser Sachlage mangels Rechtsschutzinteresse nicht näher einzugehen.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Weil die Begehren als aussichtslos zu bezeichnen waren, ist der Antrag um Gewährung der unentgeltlichen Prozessführung (Art. 65 Abs. 1 VwVG) ungeachtet einer allfälligen prozessualen Bedürftigkeit des Beschwerdeführers abzuweisen. Das Begehren, auf die Erhebung eines Kostenvorschusses zu verzichten, wird mit vorliegendem Entscheid gegenstandslos.</w:t>
      </w:r>
    </w:p>
    <w:p>
      <w:r>
        <w:rPr>
          <w:b/>
        </w:rPr>
        <w:t>E. 8.2</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