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E-1545/2014 vom 8. September 2016</w:t>
      </w:r>
    </w:p>
    <w:p>
      <w:r>
        <w:t>Bundesverwaltungsgericht, 2016-09-08, FR</w:t>
      </w:r>
    </w:p>
    <w:p>
      <w:r>
        <w:rPr>
          <w:b/>
        </w:rPr>
        <w:t xml:space="preserve">Quelle: </w:t>
      </w:r>
      <w:r>
        <w:t>https://mcp.opencaselaw.ch/entscheid/bvger_E-1545_2014</w:t>
      </w:r>
    </w:p>
    <w:p>
      <w:r>
        <w:t>FR: TAF E-1545/2014 du 8 septembre 2016</w:t>
      </w:r>
    </w:p>
    <w:p>
      <w:r>
        <w:t>IT: TAF E-1545/2014 del 8 settembre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le délai prescrits par la loi, le recours est recevable (art. 48 et 52 PA et art. 108 al. 1 LAsi).</w:t>
      </w:r>
    </w:p>
    <w:p>
      <w:r>
        <w:rPr>
          <w:b/>
        </w:rPr>
        <w:t>E. 2</w:t>
      </w:r>
    </w:p>
    <w:p>
      <w:r>
        <w:t>Le recourant a fait valoir des griefs selon lesquels l'autorité de première instance, ne reprenant ni n'instruisant certains points de son récit, aurait violé son droit d'être entendu. Ces reproches ne sont pas fondés. En effet, les points de détail non repris par le SEM (messages téléphoniques reçus, disparition de plusieurs proches et connaissances, circonstances de la répression des manifestations, départ différé pour C._______) n'ont aucune pertinence en matière d'asile, le régime de Kadhafi ayant disparu (consid. 4 ci-après). En effet, contrairement à ce que le requérant soutien dans son acte de recours (pt 18), il y a lieu de rappeler que le Tribunal statue en fonction de la situation prévalant à la date de son arrêt. Quant au fait que le SEM a situé les manifestations décrites en 2001 et non en 2011, il s'agit clairement d'une erreur de plume sans conséquences. Il faut également constater que l'arrestation de 1998 est sans lien de causalité avec le départ de l'intéressé. Dès lors, la conclusion du recours, tendant à l'annulation de la décision attaquée, pour constatation incomplète des faits pertinents (art. 106 let. b LAsi),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n'a pu faire apparaître la pertinence de ses motifs.</w:t>
      </w:r>
    </w:p>
    <w:p>
      <w:r>
        <w:rPr>
          <w:b/>
        </w:rPr>
        <w:t>E. 4.2</w:t>
      </w:r>
    </w:p>
    <w:p>
      <w:r>
        <w:t>En effet, les risques d'arrestation émanant des autorités en fonction au moment de son départ ont aujourd'hui disparu, le régime de Kadhafi étant tombé en octobre 2011 ; le fait que l'intéressé ait eu la qualité de réfugié à ce moment - ce qui n'est d'ailleurs aucunement vraisemblable - est sans incidence, le Tribunal, comme déjà rappelé, statuant sur la base de la situation actuelle. Les partisans de ce régime n'ayant désormais plus aucune influence en Libye, un risque de représailles de leur part, qui plus est cinq ans après les faits, ne peut être retenu. Le Tribunal ne voit en outre pas pourquoi les membres d'un des groupes armés actifs dans le pays envisagerait de s'en prendre personnellement au recourant, qui n'a jamais en rien attiré leur intention ; le fait qu'il ait séjourné à l'étranger, comme un très grand nombre de ses compatriotes, n'y suffit pas. Les développements auxquels se livre l'intéressé dans son recours (pt 22) sont à cet égard sans pertinence. Le conflit foncier dans lequel ses proches seraient impliqués avec les membres d'une tribu locale, sur lequel il n'a donné aucun détail clair, n'apparaît pas davantage le mettre en danger de manière pressante ; ce risque, dans tous les cas, n'aurait d'ailleurs qu'une portée purement locale. Finalement, l'intéressé lui-même a insisté, s'agissant des causes de son départ, sur l'insécurité générale régnant dans son pays (audition du 14 février 2014, p. 5-7, réponses aux questions 22 et 38-39).</w:t>
      </w:r>
    </w:p>
    <w:p>
      <w:r>
        <w:rPr>
          <w:b/>
        </w:rPr>
        <w:t>E. 4.3</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en matière d'asile et de reconnaissance de la qualité de réfugié.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exclu le refoule­ment de l'intéressé dans son pays d'origine et a prononcé son admission provisoire, notamment en raison de la situation d'insécurité régnant dans son pays. Cette question n'a donc pas à être tranchée.</w:t>
      </w:r>
    </w:p>
    <w:p>
      <w:r>
        <w:rPr>
          <w:b/>
        </w:rPr>
        <w:t>E. 6.1</w:t>
      </w:r>
    </w:p>
    <w:p>
      <w:r>
        <w:t>Le recours étant partiellement rejeté, le SEM ayant revu sa décision en matière d'exécution du renvoi, il y a lieu de mettre la moitié des frais de procédure à la charge du recourant, conformément aux art. 63 al. 1 PA et 2 et 3 let. b du règlement du 21 février 2008 concernant les frais, dépens et indemnités fixés par le Tribunal administratif fédéral (FITAF, RS 173.320.2).</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Dans le cas du recourant, qui a eu partiellement gain de cause, il y a lieu d'attribuer des dépens réduits, dont la quotité sera fixée selon la note de frais du 15 janvier 2015 (art. 14 al. 2 FITAF). Celle-ci fait état de 9,4 heures de travail au tarif horaire de 250 francs, soit 2350 francs. Les dépens sont fixés à la moitié de cette somme (1175 francs), à quoi s'ajoutent les débours par 71 francs et la TVA par 8% au sens de l'art. 9 al. 1 let. c FITAF, soit un total de 1345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