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E-1543/2024 vom 16. Mai 2024</w:t>
      </w:r>
    </w:p>
    <w:p>
      <w:r>
        <w:t>Bundesverwaltungsgericht, 2024-05-16, DE</w:t>
      </w:r>
    </w:p>
    <w:p>
      <w:r>
        <w:rPr>
          <w:b/>
        </w:rPr>
        <w:t xml:space="preserve">Quelle: </w:t>
      </w:r>
      <w:r>
        <w:t>https://mcp.opencaselaw.ch/entscheid/bvger_E-1543_2024</w:t>
      </w:r>
    </w:p>
    <w:p>
      <w:r>
        <w:t>FR: TAF E-1543/2024 du 16 mai 2024</w:t>
      </w:r>
    </w:p>
    <w:p>
      <w:r>
        <w:t>IT: TAF E-1543/2024 del 16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E-1543/2024 Seite 5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kam in der angefochtenen Verfügung zum Schluss, dass die Vorbringen des Beschwerdeführers den Anforderungen an die Flüchtlingseigenschaft gemäss Art. 3 AsylG nicht standhielten. Die Vorinstanz hält im Wesentlichen fest, bei den Vorbringen des Be- schwerdeführers handle es sich um Übergriffe von Drittpersonen, denen kein Motiv nach Art. 3 AsylG zugrunde liege. Die türkischen Behörden seien grundsätzlich schutzfähig sowie schutzwillig und vorliegend aktenkundig tätig geworden. Auch wenn die Gegenpartei Mitglieder bei der (…) habe, sei deren Einfluss in einem entfernten Gebiet wie beispielsweise G._______ als gering einzustufen. Deshalb könne sich der Beschwerde- führer für die geltend gemachten Übergriffe an die Schutzorgane in der Türkei wenden, was er bisher nicht getan habe. Zudem sei aufgrund seiner Aussagen ersichtlich, dass ihm bis zur Ausreise nichts zugestossen sei. Er habe lediglich von seiner Familie vernommen, die Gegenpartei sei wütend auf ihn und fahre mit Autos an seinem Eltern- haus vorbei. Weiter lebten seine Verwandten, die ebenfalls an der geschil- derten Auseinandersetzung teilgenommen hätten, weiterhin in E._______. Ihnen sei bisher nichts zugestossen, weshalb davon ausgegangen werden könne, die Gegenpartei habe kein hohes Rachebedürfnis. Auch sei der Be- schwerdeführer weniger vom geschilderten Konflikt betroffen, da er sich nur wegen der Verwandtschaft sich in die Auseinandersetzung eingemischt habe. Deshalb handle es sich auch nicht um eine Verfolgung, die eine flüchtlingsrechtlich relevante Intensität im Sinne von Art. 3 AsylG erreiche.</w:t>
      </w:r>
    </w:p>
    <w:p>
      <w:r>
        <w:t>E-1543/2024 Seite 6 Weiter habe sich der Beschwerdeführer (…) Monate im tausend Kilometer entfernten G._______ bei seiner Schwester versteckt und die Gegenpartei habe ihn in dieser Zeit nicht aufgespürt. Es existiere daher offensichtlich auch eine innerstaatliche Schutzalternative. Schliesslich fehle zwischen den Vorbringen des Beschwerdeführers und dem Ausreisezeitpunkt der Kausalzusammenhang. Er sei gemäss eigenen Angaben am (…) 2023 per Zufall aus der Türkei ausgereist. Es sei daher kein triftiger Grund beziehungsweise ein auslösendes Ereignis erkennbar, weshalb er nicht weiterhin bei seiner Schwester hätte bleiben können.</w:t>
      </w:r>
    </w:p>
    <w:p>
      <w:r>
        <w:rPr>
          <w:b/>
        </w:rPr>
        <w:t>E. 5.2</w:t>
      </w:r>
    </w:p>
    <w:p>
      <w:r>
        <w:t>In der Rechtsmitteleingabe rügt der Beschwerdeführer, die Vorinstanz habe ihn zu Unrecht nicht als Flüchtling anerkannt. Er führt im Wesentli- chen aus, die Vorinstanz gehe fälschlicherweise davon aus, die Türkei ver- füge über Schutzorgane. Die Blutfehde könne jedes Familienmitglied be- treffen. Das Land sei nicht in der Lage, alle seine Bürger vor Blutfehden zu schützen und überlasse sie ihrem Schicksal, weshalb ihm Asyl zu gewäh- ren sei.</w:t>
      </w:r>
    </w:p>
    <w:p>
      <w:r>
        <w:rPr>
          <w:b/>
        </w:rPr>
        <w:t>E. 6.1</w:t>
      </w:r>
    </w:p>
    <w:p>
      <w:r>
        <w:t>Die vorinstanzlichen Erwägungen sind nicht zu beanstanden. In der an- gefochtenen Verfügung wird einlässlich dargelegt, aus welchen Gründen der Beschwerdeführer die Voraussetzungen zur Anerkennung als Flücht- ling nicht erfüllt. Mit der Vorinstanz ist festzuhalten, dass die dargelegten Bedrohungen von privaten Dritten ausgehen und der türkische Staat ge- mäss Rechtsprechung in Bezug auf gemeinstrafrechtlich relevantes Ver- halten als schutzfähig sowie schutzwillig gilt (vgl. statt vieler Urteile des BVGer E-4548/2020 vom 23. Oktober 2023 E. 5.1 m.w.H.). Daran vermag der nicht ansatzweise substantiierte Einwand in der Rechtsmitteleingabe, die Türkei habe keine Schutzorgane und sei nicht in der Lage, alle ihre Bürger vor Blutfehden zu schützen sowie die Gegenpartei finde ihn überall in der Türkei, nichts zu ändern. Dazu ist ohnehin kein Staat in der Lage. Auch kann er aus seinem Vorbringen, er habe wegen der (…) Kontakte der Gegenpartei aus Angst die (…) nicht aufgesucht, nichts zu seinen Gunsten ableiten. Wie die Vorinstanz hierzu zu Recht festhält, hätte der Beschwer- deführer zumindest während seiner Zeit in G._______, als er sich bei sei- ner Schwester vor der Gegenpartei versteckte, bei der dortigen (…) den staatlichen Schutz beanspruchen können, was er jedoch nie tat. Sollten ihn die Gegenpartei nach einer Rückkehr erneut bedrohen, wäre es ihm zuzu- muten, sich bei den zuständigen Behörden zu melden und die Hilfe</w:t>
      </w:r>
    </w:p>
    <w:p>
      <w:r>
        <w:t>E-1543/2024 Seite 7 staatlicher Schutzeinrichtungen sowie rechtlicher Anlaufstellen in Anspruch zu nehmen. Sodann kann der Beschwerdeführer aus den in der Rechtsmitteleingabe festgehaltenen pauschalen Verweise auf die Rechtsprechung sowie Lite- ratur und der Aufführung von an die Schweizerischen Flüchtlingshilfe SFH gerichteten E-Mails im Zusammenhang mit der allgemeinen Situation be- treffend die Blutfehde in der Türkei nichts für sich ableiten. Insbesondere reicht der blosse Hinweis in der Beschwerde auf das in der Türkei beste- hende allgemeine Risiko, anlässlich einer Blutfehde getötet zu werden, nicht aus, um eine gezielte Verfolgung des Beschwerdeführers nachzuwei- sen. Auch ist in diesem Zusammenhang mit der Vorinstanz festzuhalten, dass es sich bei der geltend gemachten Bedrohung um ein lokal begrenz- tes Problem handelt, welchem sich der Beschwerdeführer durch ein inner- staatliches Ausweichen entziehen kann, was ihm umso mehr zuzumuten ist, als er gemäss eigenen Angaben bis vor der Ausreise seit vier bis fünf Jahren in C._______ gearbeitet hat. Schliesslich sind die sich grösstenteils auf die Wiederholung des aktenkundigen Sachverhalts beschränkten Vor- bringen auf Beschwerdeebene – die zudem bereits in der erstinstanzlichen Verfügung zutreffend gewürdigt wurden – nicht geeignet, eine flüchtlings- rechtlich relevante Verfolgung im Sinne von Art. 3 Abs. 2 AsylG zu begrün- den.</w:t>
      </w:r>
    </w:p>
    <w:p>
      <w:r>
        <w:rPr>
          <w:b/>
        </w:rPr>
        <w:t>E. 6.2</w:t>
      </w:r>
    </w:p>
    <w:p>
      <w:r>
        <w:t>Zusammenfassend ist festzuhalten, dass die Vorinstanz zu Recht die Flüchtlingseigenschaft des Beschwerdeführers verneint und sein Asylge- such abgelehnt hat.</w:t>
      </w:r>
    </w:p>
    <w:p>
      <w:r>
        <w:rPr>
          <w:b/>
        </w:rPr>
        <w:t>E. 6.3</w:t>
      </w:r>
    </w:p>
    <w:p>
      <w:r>
        <w:t>Der vom Beschwerdeführer gestellte Rückweisungsantrag wird in der Rechtsmitteleingabe sodann offensichtlich nicht begründet und es ergeben sich aus den Akten auch keine Rückweisungsgründe, weshalb der Antrag abzuweisen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w:t>
      </w:r>
    </w:p>
    <w:p>
      <w:r>
        <w:t>E-1543/2024 Seite 8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 Auch die allgemeine Men-</w:t>
      </w:r>
    </w:p>
    <w:p>
      <w:r>
        <w:t>E-1543/2024 Seite 9 schenrechtssituation in der Türkei lässt den Wegweisungsvollzug zum heu- 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Juli 2016 ist gemäss konstanter Praxis des Bundesverwaltungsgerichts nicht von einer Situation allgemeiner Ge- walt oder bürgerkriegsähnlichen Verhältnissen in der Türkei auszugehen (vgl. statt vieler Urteil des BVGer D-6861/2023 vom 25. April 2024 E. 9.4.2). Die Stadt E._______ (Provinz F._______), in welcher der Beschwerdefüh- rer seit (…) bis zu seiner Ausreise zuletzt gelebt hat, war zudem nicht un- mittelbar von den Auswirkungen des schweren Erdbebens anfangs Feb- ruar 2023 betroffen.</w:t>
      </w:r>
    </w:p>
    <w:p>
      <w:r>
        <w:rPr>
          <w:b/>
        </w:rPr>
        <w:t>E. 8.3.2</w:t>
      </w:r>
    </w:p>
    <w:p>
      <w:r>
        <w:t>Zur Begründung hinsichtlich der individuellen Zumutbarkeit des Weg- weisungsvollzugs vollumfänglich auf die zutreffenden Erwägungen der Vorinstanz verwiesen werden, denen vom Beschwerdeführer in der Rechtsmitteleingabe nichts entgegengesetzt wird.</w:t>
      </w:r>
    </w:p>
    <w:p>
      <w:r>
        <w:rPr>
          <w:b/>
        </w:rPr>
        <w:t>E. 8.3.3</w:t>
      </w:r>
    </w:p>
    <w:p>
      <w:r>
        <w:t>Nach dem Gesagten erweist sich der Vollzug der Wegweisung auch als zumutbar.</w:t>
      </w:r>
    </w:p>
    <w:p>
      <w:r>
        <w:rPr>
          <w:b/>
        </w:rPr>
        <w:t>E. 8.4</w:t>
      </w:r>
    </w:p>
    <w:p>
      <w:r>
        <w:t>Der Beschwerdeführer verfügt über eine türkische Identitätskarte und es ist ihm zuzumuten, sich bei der zuständigen Vertretung des Heimatstaa- tes die für eine Rückkehr notwendigen Reisedokumente zu beschaffen (vgl. Art. 8 Abs. 4 AsylG und dazu auch BVGE 2008/34 E. 12), weshalb der Vollzug der Wegweisung auch als möglich zu bezeichnen ist (Art. 83 Abs. 2 AIG).</w:t>
      </w:r>
    </w:p>
    <w:p>
      <w:r>
        <w:t>E-1543/2024 Seite 10</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5. April 2024 geleistete Kostenvorschuss in der Höhe von Fr. 750.– ist zur Bezahlung der Verfahrenskosten zu verwenden.</w:t>
      </w:r>
    </w:p>
    <w:p>
      <w:r>
        <w:t>(Dispositiv nächste Seite)</w:t>
      </w:r>
    </w:p>
    <w:p>
      <w:r>
        <w:t>E-1543/2024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