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E-1524/2014 vom 24. April 2014</w:t>
      </w:r>
    </w:p>
    <w:p>
      <w:r>
        <w:t>Bundesverwaltungsgericht, 2014-04-24, DE</w:t>
      </w:r>
    </w:p>
    <w:p>
      <w:r>
        <w:rPr>
          <w:b/>
        </w:rPr>
        <w:t xml:space="preserve">Quelle: </w:t>
      </w:r>
      <w:r>
        <w:t>https://mcp.opencaselaw.ch/entscheid/bvger_E-1524_2014</w:t>
      </w:r>
    </w:p>
    <w:p>
      <w:r>
        <w:t>FR: TAF E-1524/2014 du 24 avril 2014</w:t>
      </w:r>
    </w:p>
    <w:p>
      <w:r>
        <w:t>IT: TAF E-1524/2014 del 24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Gericht ist daher zuständig für die Beurteilung der vorliegenden Beschwerde und entscheidet auf dem Gebiet des Asyls in der Regel - so auch vorliegend - endgültig (Art. 105 AsylG SR 142.31; Art. 83 Bst. d Ziff. 1 BGG). Die Voraussetzungen für das Eintreten auf die Beschwerde sind vorliegend erfüllt.</w:t>
      </w:r>
    </w:p>
    <w:p>
      <w:r>
        <w:rPr>
          <w:b/>
        </w:rPr>
        <w:t>E. 1.2</w:t>
      </w:r>
    </w:p>
    <w:p>
      <w:r>
        <w:t>Die Kognition des Bundesverwaltungsgerichts und die zulässigen Rügen richten sich im Asylbereich nach Art. 106 Abs. 1 AsylG. 2.Über offensichtlich unbegründete Beschwerden wird in einzelrichterlicher Zuständigkeit mit Zustimmung eines zweiten Richters entschieden (Art. 111 Bst. e AsylG), weshalb der Entscheid auch nur summarisch zu begründen ist (Art. 111a Abs. 2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in seinem Entscheid aus, der Beschwerdeführer mache geltend, man habe ihn nach seiner Freilassung aus der Haft wiederholt telefonisch aufgefordert, sich bei der Polizei zu melden. Aus Angst sei er jedoch nicht hingegangen. Nachdem er freigekommen sei, habe er eine Garantie abgeben müssen, nicht mehr an Demonstrationen teilzunehmen. Vor diesem Hintergrund sei nicht nachvollziehbar, weshalb man ihn ohne Grund erneut hätte festnehmen sollen, was die Behörden ohne weiteres hätten tun können, als er bei ihnen vorbeigegangen sei, um seine Sachen abzuholen. Im (...) seien ein Dutzend politische Gefangene aus der Haft entlassen worden, darunter auch Personen, die (...), was zeige, dass sich die Lage verändert habe. Aktuell könne nicht davon ausgegangen werden, dass der Beschwerdeführer bei einer Rückkehr begründete Furcht vor Verfolgung im Sinne von Art. 3 AsylG haben müsse. An der Glaubhaftigkeit der Vorbringen seien grosse Zweifel anzubringen. So habe der Beschwerdeführer teilweise widersprüchliche und tatsachen-widrige Ausführungen zu den Parteien gemacht. Da die Vorbringen insgesamt die Voraussetzungen von Art. 3 AsylG nicht erfüllen würden, er- übrige es sich, eingehender auf diese Punkte und auf weitere Unglaubhaftigkeitselemente einzugehen. Der Beschwerdeführer erfülle die Flüchtlingseigenschaft nicht, so dass dessen Asylgesuch abzulehnen sei. Demnach sei er zur Ausreise aus der Schweiz verpflichtet (Art. 44 AsylG). Bezüglich des Vollzugs der Wegweisung sei festzuhalten, dass der Grundsatz der Nichtrückschiebung gemäss Art. 5 AsylG nicht angewandt werden könne. Zudem seien keine Anhaltspunkte auszumachen, dass ihm im Falle einer Rückkehr in den Heimatstaat mit beachtlicher Wahrscheinlichkeit eine durch Art. 3 EMRK verbotene Strafe oder Behandlung drohe. Weder die dortige politische Situation noch andere Gründe würden gegen die Zumutbarkeit der Rückführung sprechen. Der Beschwerdeführer habe Berufserfahrung, sei gesund und verfüge im Iran über ein familiäres Beziehungsnetz, weshalb davon auszugehen sei, er könne sich bei einer Rückkehr eine existenzsichernde Lebensgrundlage aufbauen. Der Vollzug der Wegweisung sei auch technisch möglich und praktisch durchführbar. 4.2 In der Beschwerde wurde nach allgemeinen Ausführungen zur Lage und Entwicklung im Iran geltend gemacht, viele Inhaftierte seien damals einzig infolge Platzmangel freigelassen worden. Auf die weniger schweren Fälle wie beim Beschwerdeführer seien die Behörden später zurückgekommen. Er sei inhaftiert gewesen, und man habe nach ihm gesucht; er habe eine Garantie abgeben müssen, sich nicht mehr an den Protesten zu beteiligen. Wegen der illegalen Ausreise und der Teilnahme an Demonstrationen in der Schweiz drohe ihm erst recht Strafe und unmenschliche Behandlung. Der Rechtsvertretung seien mehrere Fälle bekannt, bei denen es (...) zu Verhaftungen gekommen sei. Alle Verhafteten seien wie der Beschwerdeführer bei (...) aktiv gewesen und hätten den Versprechungen des Regimes geglaubt. In der Eingabe vom 7. April 2014 wies der Beschwerdeführer auf Fälle hin, die ähnlich gelagert seien und verdeutlichen würden, dass er gefährdet sei. 5.5.1 Wie vorstehend in Erwägung 2 ausgeführt, hält das Gericht die Rechtsbegehren für offensichtlich unbegründet, weshalb es sich nach-stehend nur summarisch äussert und vorweg feststellt, dass die vor-instanzlichen Erwägungen im Kern nicht zu beanstanden sind. Das Gericht kommt zum Schluss, dass der Beschwerdeführer zwar in irgendeiner Art und Weise in (...) verwickelt gewesen und inhaftiert worden sein könnte, wobei es auch Misshandlungen nicht ausschliesst. Er unterscheidet sich in dieser Hinsicht aber nicht von einer Vielzahl von Protestierenden, die bei den damaligen Demonstrationen oder danach festgenommen, kurzzeitig inhaftiert und befragt worden sind. Der Beschwerdeführer bringt vor, von einer unterdrückten Nummer aus wiederholt aufgefordert worden zu sein, sich bei den Behörden zu melden, was jedoch eine blosse Behauptung ist und nicht geglaubt werden kann, hätte er bei einer solchen Kontaktnahme doch beispielsweise gar nicht mit Sicherheit wissen können, dass es sich tatsächlich um eine staatliche Stelle handle. Und - wie bereits vom BFM festgestellt - völlig unlogisch ist das Vorbringen, er habe Angst gehabt, sich zur Polizei zu begeben, sei aber später aus freien Stücken dorthin gegangen, um seine ihm abgenommenen Sachen abzuholen, was im Falle eines behördlichen Interesses an seiner Person zweifelsohne zur sofortigen erneuten Inhaftierung geführt hätte. 5.2 Bei dieser Einschätzung ist ohne weiteren Begründungsaufwand zusammenfassend festzuhalten, dass es dem Be­schwerdeführer nicht gelungen ist, für den Zeitpunkt seiner Ausreise aus dem Iran eine Verfolgung im Sinne von Art. 3 AsylG nachzuweisen oder glaubhaft zu machen. Auch eine diesbezüglich begründete Furcht vor künftigen Verfolgungsmassnahmen ist zu verneinen. An dieser Einschätzung vermögen auch die in einer Fremdsprache (ohne Übersetzung) eingereichten Beweismittel nichts zu ändern. 5.3 5.3.1 Der Beschwerdeführer macht weiter das Vorliegen subjektiver Nachfluchtgründe im Sinn von Art. 54 AsylG geltend, indem er vorbringt, er sei in der Schweiz exilpolitisch aktiv geworden. 5.3.2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aber durch den ausdrücklichen Hinweis auf den Vorbehalt der Geltung der des Abkommens vom 28. Juli 1951 über die Rechtsstellung der Flüchtlinge (FK, SR 0.142.30) wieder relativiert (Art. 3 Abs. 4 in fine AsylG). 5.3.3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5.3.4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und BVGE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5.3.5 Es ist mithin zu prüfen, ob der Beschwerdeführer aufgrund der vorgebrachten exilpolitischen Aktivitäten die Voraussetzungen für die Zuerkennung der Flüchtlingseigenschaft erfüllt. 5.3.6 Dass der Iran im Ausland gezielt Informationen von Staatsbürgern sammelt, ist bekannt. Dieser Umstand reicht für sich allein genommen jedoch nicht aus, um eine begründete Verfolgungsfurcht glaubhaft zu machen. Es müssen konkrete Anhaltspunkte vorliegen, dass der Beschwerdeführer tatsächlich das Interesse der Behörden auf sich gezogen hat respektive als regimefeindliches Element namentlich identifiziert und registriert worden ist. Denn nach dem Kenntnisstand des Gerichts werden exilpolitische Aktivitäten erst dann wahrgenommen, wenn ein exponiertes Wirken an den Tag gelegt wird, was vorliegend gemäss Aktenlage nicht der Fall ist, zumal der Beschwerdeführer im Iran eigenen Angaben zufolge nur einfaches Parteimitglied gewesen sein will. 5.3.7 Unter Berücksichtigung dieser Umstände ergibt sich, dass der Beschwerdeführer auch die Voraussetzungen für die Anerkennung von subjektiven Nachfluchtgründen im Sinne von Art. 54 AsylG nicht erfüllt. An dieser Einschätzung vermögen die Ausführungen in der Rechtsmittelein-gabe und die später eingereichten Beweismittel nichts zu ändern. 5.4. Das BFM hat nach dem Gesagten die Flüchtlingseigenschaft des Beschwerdeführers zu Recht verneint. 6.Lehnt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Abs. 1 AsylG; vgl. BVGE 2009/50 E. 9 S. 737). 7.7.1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7.2.2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7.2.3 Die Vorinstanz wies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keine Anwendung finden. Eine Rückführung in den Iran ist demnach unter diesem Aspekt rechtmässig. 7.2.4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(Europäischer Gerichtshof für Menschenrechte) und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 Der Vollzug der Wegweisung ist demnach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7.3.2 Im Iran herrscht keine Situation allgemeiner Gewalt, weshalb von der generellen Zumutbarkeit des Wegweisungsvollzugs ausgegangen werden kann. Ferner lassen sich den Akten auch keine individuellen Wegweisungshindernisse entnehmen. Beim Beschwerdeführer handelt es sich um einen gesunden Mann mit beruflicher Erfahrung, der im Heimatstaat über ein tragfähiges Beziehungsnetz verfügt. Bei dieser Ausgangslage ist nicht davon auszugehen, er werde bei einer Rückkehr in den Iran in eine existenzielle Notlage geraten.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bezeichnet. Die Anordnung einer vorläufigen Aufnahme fällt ausser Betracht (Art. 83 Abs. 1-4 AuG). 8.Aus diesen Erwägungen ergibt sich, dass die angefochtene Verfügung Bundesrecht nicht verletzt und den rechtserheblichen Sachverhalt richtig und vollständig feststellt (Art. 106 Abs. 1 AsylG). Die Beschwerde ist abzuweisen. 9.Bei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