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E-1520/2023 vom 23. Mai 2023</w:t>
      </w:r>
    </w:p>
    <w:p>
      <w:r>
        <w:t>Bundesverwaltungsgericht, 2023-05-23, FR</w:t>
      </w:r>
    </w:p>
    <w:p>
      <w:r>
        <w:rPr>
          <w:b/>
        </w:rPr>
        <w:t xml:space="preserve">Quelle: </w:t>
      </w:r>
      <w:r>
        <w:t>https://mcp.opencaselaw.ch/entscheid/bvger_E-1520_2023</w:t>
      </w:r>
    </w:p>
    <w:p>
      <w:r>
        <w:t>FR: TAF E-1520/2023 du 23 mai 2023</w:t>
      </w:r>
    </w:p>
    <w:p>
      <w:r>
        <w:t>IT: TAF E-1520/2023 del 23 maggio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l'intéressé se plaint en effet d'une instruction insuffisante de l'état de fait relatif à sa situation médicale. Il reproche en particulier au SEM d'avoir statué sans se baser sur une évaluation psychique et physique complète de sa santé et en dépit de sa fragilité mentale. Il fait en outre valoir une violation, par l'autorité inférieure, de son devoir d'instruction et de motivation en ce qui concerne ses allégations sur la situation actuelle en Croatie.</w:t>
      </w:r>
    </w:p>
    <w:p>
      <w:r>
        <w:rPr>
          <w:b/>
        </w:rPr>
        <w:t>E. 3.2</w:t>
      </w:r>
    </w:p>
    <w:p>
      <w:r>
        <w:t>C'est en vain que le recourant se prévaut de ces griefs. S'agissant d'abord de son état de santé, force est de constater qu'il a pu consulter à différentes reprises, tant pour ses atteintes psychiques que somatiques, et que des diagnostics précis ont été posés (cf. Faits, let. H.). Une prise en charge médicale a été initiée dès l'évocation, par l'intéressé, des premiers symptômes ressentis, en particulier en ce qui concerne les atteintes psychiques, pour lesquelles des entretiens bimensuels ont été mis en place. De plus, une médication a été administrée à son endroit et adaptée en fonction de ses besoins et de ses souhaits. A cela s'ajoute qu'à l'issue de son hospitalisation, un rapport circonstancié a été établi ; ce document, versé au dossier le 2 mars 2023, soit une semaine avant le prononcé de la décision querellée, contient un rappel anamnesique, des diagnostics, les mesures entreprises en cours d'hospitalisation, ainsi que des développements détaillés sur les conséquences de l'hospitalisation et le traitement pharmacologique entrepris. Il évoque expressément une évolution favorable de l'état de santé de l'intéressé et exclut la présence d'idées suicidaires à son endroit à la sortie de l'hôpital. Force est donc de constater, dans ces conditions, que l'autorité inférieure disposait, au moment de statuer, de tous les éléments relatifs à l'état de santé du recourant qui lui étaient nécessaires.</w:t>
      </w:r>
    </w:p>
    <w:p>
      <w:r>
        <w:rPr>
          <w:b/>
        </w:rPr>
        <w:t>E. 3.3</w:t>
      </w:r>
    </w:p>
    <w:p>
      <w:r>
        <w:t>A noter pour le surplus que le grief du recourant tiré d'une violation du devoir d'instruction et de motivation du SEM en lien avec les allégations portant sur la situation actuelle en Croatie relève davantage du fond que de la forme et sera en conséquence examiné ci-après. Il sied toutefois de rappeler à ce stade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Quoi qu'il en soit, le SEM a dûment tenu compte des allégations du requérant sur les mauvais traitements subis ainsi que des différents moyens de preuve offerts et procédé à un véritable examen sous cet angle.</w:t>
      </w:r>
    </w:p>
    <w:p>
      <w:r>
        <w:rPr>
          <w:b/>
        </w:rPr>
        <w:t>E. 3.4</w:t>
      </w:r>
    </w:p>
    <w:p>
      <w:r>
        <w:t>Partant, les griefs formels invoqués dans le recours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la compétence de la Croatie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 (cf. let. B, E et F).</w:t>
      </w:r>
    </w:p>
    <w:p>
      <w:r>
        <w:rPr>
          <w:b/>
        </w:rPr>
        <w:t>E. 5.2</w:t>
      </w:r>
    </w:p>
    <w:p>
      <w:r>
        <w:t>Le recourant s'oppose toutefois à son transfert en Croatie au motif que ce pays présente des défaillances systémiques dans la procédure d'asile. Se fondant sur plusieurs rapports établis par différents organismes actifs en matière d'asile, il invoque, de manière générale, les conditions d'accueil des requérants d'asile dans ce pays, les violences policières contre ces derniers, l'absence de recours effectif contre celles-ci, les risques de « push-backs » illégaux et les difficultés d'accès aux soins. Il fait valoir en particulier la violation par le SEM des art. 3 par. 2 2ème phr. et 17 par. 1 du règlement Dublin III et soutient que son transfert en Croatie n'est pas admissible au vu de son état de santé et de son besoin de suivre un traitement thérapeutique régulier et adapté à ses troubles mentaux.</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explications du recourant relatives à son vécu en Croatie ne permettant pas de parvenir à un constat différent.</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7.2</w:t>
      </w:r>
    </w:p>
    <w:p>
      <w:r>
        <w:t>En l'espèce, les déclarations du recourant et les moyens de preuve qu'il a produits devant le SEM ne suffisent pas à démontrer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ni à admettre que les autorités croates refuseraient de le prendre en charge après son transfert et de mener une procédure d'examen de sa demande de protection internationale, en violation de la directive Procédure, une fois une telle demande déposée. Indépendamment des circonstances exactes de son arrivée et de son séjour en Croatie, ni les photographies ni les captures d'écran produites ne permettent d'attester le comportement qu'il impute aux forces de l'ordre croates. Outre les motifs déjà retenus par le SEM (cf. décision querellée, p. 6 à 7), auxquels il convient ici de renvoyer, l'on peine en effet à comprendre pour quelle raison les autorités croates l'auraient emmené en voiture jusqu'à une gare pour l'empêcher de prendre son train alors qu'il disposait - selon ses dires - d'un billet valable. Le recourant n'a en outre pas expliqué la raison pour laquelle il disposait d'un billet de train reliant I._______ à J._______, soit deux villes situées en K._______, alors qu'il avait été interpellé à B._______, à plus de deux-cents kilomètres de route (cf. résultats « Eurodac » et la décision de retour du poste de police « L._____»). A cela s'ajoute que le billet en question porte la date du (...) octobre 2022, soit le lendemain de son interpellation, alors qu'il prétend avoir passé trois jours enfermé dans une cellule au poste de police ensuite de son arrestation.</w:t>
      </w:r>
    </w:p>
    <w:p>
      <w:r>
        <w:rPr>
          <w:b/>
        </w:rPr>
        <w:t>E. 7.3</w:t>
      </w:r>
    </w:p>
    <w:p>
      <w:r>
        <w:t>En tout état de cause et indépendamment de ce qui précède, les allégations du recourant ne sont pas décisives quant à la conformité de son transfert au regard des art. 3 CEDH et 3 Conv. torture, dès lors qu'il n'existe aucune raison concrète et sérieuse d'admettre que son transfert à Zagreb risquerait de l'exposer à une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 une fois sa demande d'asile déposée. Dans ces conditions, il y lieu de considérer que l'intéressé ne se retrouvera pas confronté à la situation qui a pu être la sienne par le passé dans les zones frontalières, de sorte qu'il n'existe aucun indice concret d'un risque de retraumatisation en cas de transfert en Croatie.</w:t>
      </w:r>
    </w:p>
    <w:p>
      <w:r>
        <w:rPr>
          <w:b/>
        </w:rPr>
        <w:t>E. 7.4</w:t>
      </w:r>
    </w:p>
    <w:p>
      <w:r>
        <w:t>A noter encore que la Croatie est un Etat de droit et qu'il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7.5.1</w:t>
      </w:r>
    </w:p>
    <w:p>
      <w:r>
        <w:t>Selon les derniers documents médicaux figurant au dossier, le recourant présente, sur le plan somatique, des douleurs cervicales et lombaires d'origine musculaire, ainsi que des migraines. Au moment de leur diagnostic (respectivement [...] décembre 2022 et [...] janvier 2023), ces pathologies nécessitaient la prise d'antalgiques et d'anti-inflammatoires (Dafalgan et Irfen). Sur le plan psychique, le recourant présente un PTSD et un épisode dépressif moyen, sans symptôme psychotique, pour lesquels un traitement par antidépresseur a été mis en place. La médication a subi quelques adaptations et consiste désormais en la seule prise de Trittico. L'intéressé a par ailleurs connu une période d'hospitalisation volontaire de (...) pour une mise à l'abri d'idées suicidaires. A sa sortie de l'hôpital, les médecins ont constaté une évolution favorable de son état de santé psychique, avec un amendement des idées suicidaires.</w:t>
      </w:r>
    </w:p>
    <w:p>
      <w:r>
        <w:rPr>
          <w:b/>
        </w:rPr>
        <w:t>E. 7.5.2</w:t>
      </w:r>
    </w:p>
    <w:p>
      <w:r>
        <w:t>Les problèmes médicaux précités - en particulier les troubles psychiques - ne sauraient en aucun cas être minimisés. Cela étant, compte tenu de la jurisprudence restrictive en la matière, il y a lieu de considérer qu'ils ne sont pas d'une gravité telle qu'il se justifierait de renoncer au transfert du recourant vers la Croatie (cf., à ce sujet, arrêt Paposhvili c. Belgique du 13 décembre 2016 [GC], requête n° 41738/10). En effet, les examens médicaux subis, les diagnostics posés et les traitements prescrits ne sont pas révélateurs de maladies d'une gravité ou d'une spécificité telle qu'elles ne pourraient pas être traitées en Croatie (cf. arrêt du Tribunal E-5206/2022 du 23 novembre 2022 consid. 6.3.5 et réf. cit. ; sur les possibilités de prise en charge médicale dans le domaine de l'asile en Croatie, cf. notamment arrêts du Tribunal E-3771/2022 du 2 novembre 2022 consid. 6.4 ; E-4732/2022 du 31 octobre 2022 consid. 6.3.4). Sans exclure une éventuelle évolution des troubles psychiques dont est affecté l'intéressé, les dernières constatations des médecins s'avèrent favorables ; la présence d'idées suicidaires, en particulier, ne semble plus d'actualité. Dans ces circonstances, la fragilité psychique dont il est atteint ne saurait suffire à faire obstacle à son transfert en Croatie.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7.5.3</w:t>
      </w:r>
    </w:p>
    <w:p>
      <w:r>
        <w:t>Il convient encore de rappeler que, selon la pratique du Tribunal, des tendances suicidaires (« suicidalité ») ne constituent pas, en soi, un obstacle à la mesure de transfert, seule une mise en danger présentant des formes concrètes devant être prise en considération. Aussi, si des menaces auto-agressives devaient apparaître à nouveau au moment de l'organisation du départ de Suisse de l'intéressé, il appartiendrait aux autorités chargées de l'exécution du transfert de prévoir des mesures concrètes pour en prévenir la réalisation. Il appartiendra également à celles-là de communiquer, le cas échéant, aux autorités croates les renseignements éventuellement actualisés permettant une prise en charge adéquate de l'intéressé, en application des art. 31 et 32 du règlement Dublin III (cf. notamment arrêt du Tribunal F-1890/2020 du 16 avril 2020 consid. 5.3 et réf. cit.), étant précisé que celui-ci a donné son accord en date du 24 octobre 2022 à la transmission des données médicales le concernant (cf. let. C.).</w:t>
      </w:r>
    </w:p>
    <w:p>
      <w:r>
        <w:rPr>
          <w:b/>
        </w:rPr>
        <w:t>E. 7.6</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rPr>
          <w:b/>
        </w:rPr>
        <w:t>E. 7.7</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 Il est renoncé à un échange d'écritures (cf. art. 111a al. 1 LAsi).</w:t>
      </w:r>
    </w:p>
    <w:p>
      <w:r>
        <w:rPr>
          <w:b/>
        </w:rPr>
        <w:t>E. 9</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20 janvier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