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E-1517/2015 vom 13. April 2015</w:t>
      </w:r>
    </w:p>
    <w:p>
      <w:r>
        <w:t>Bundesverwaltungsgericht, 2015-04-13, DE</w:t>
      </w:r>
    </w:p>
    <w:p>
      <w:r>
        <w:rPr>
          <w:b/>
        </w:rPr>
        <w:t xml:space="preserve">Quelle: </w:t>
      </w:r>
      <w:r>
        <w:t>https://mcp.opencaselaw.ch/entscheid/bvger_E-1517_2015</w:t>
      </w:r>
    </w:p>
    <w:p>
      <w:r>
        <w:t>FR: TAF E-1517/2015 du 13 avril 2015</w:t>
      </w:r>
    </w:p>
    <w:p>
      <w:r>
        <w:t>IT: TAF E-1517/2015 del 13 aprile 2015</w:t>
      </w:r>
    </w:p>
    <w:p>
      <w:pPr>
        <w:pStyle w:val="Heading2"/>
      </w:pPr>
      <w:r>
        <w:t>Regeste</w:t>
      </w:r>
    </w:p>
    <w:p>
      <w:r>
        <w:t>Asyl (ohne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und auch vorliegend - endgültig (Art. 105 AsylG [SR 142.31]; Art. 83 Bst. d Ziff. 1 BGG). Als Verfügungsadressaten sind die Beschwerdeführer zur Beschwerdeerhebung legitimiert. Auf die frist- und formgerecht eingereichte Beschwerde ist - vorbehältlich Erwägung 7 - einzutreten (Art. 105 und 108 Abs. 1 AsylG; Art. 48 Abs. 1 sowie Art. 52 Abs. 1 VwVG).</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asylsuchende Person erfüllt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[damaligen] Schweizerischen Asylrekurskommission (ARK) in EMARK 1995/2 E. 3a, 2006/18 E. 7-10 2006/32 E. 8.7). Begründet ist die Furcht vor Verfolgung,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2005/21 E. 7 S. 193 f., EMARK 2004/1 E. 6a S. 9).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w:t>
      </w:r>
    </w:p>
    <w:p>
      <w:r>
        <w:rPr>
          <w:b/>
        </w:rPr>
        <w:t>E. 5</w:t>
      </w:r>
    </w:p>
    <w:p>
      <w:r>
        <w:t>Die Vorinstanz glaubt zwar, dass der volljährige Sohn nach einer Beteiligung an einer Demonstration von den syrischen Sicherheitskräften mitgenommen worden sei, nicht aber, dass nach dessen Vater, dem voll-jährigen Beschwerdeführer, gefahndet werde. Die entsprechenden Vorbringen hält sie insbesondere aufgrund von angeblichen Widersprüchen zwischen den Angaben der Ehefrau an der Anhörung und denjenigen an der Kurzbefragung sowie zwischen ihren Angaben und denjenigen ihres Ehemannes für unglaubhaft. Den Beschwerdeführern ist beizupflichten, dass es sich bei den monierten Widersprüchen (betreffend Häufigkeit der Suche und die Frage bezüglich Uniformen) bei genauem Hinsehen nicht um Widersprüche handelt, respektive ist festzustellen, dass die auf Beschwerdeebene angebotenen Erklärungen in den Protokollen Rückhalt finden. Indes ist der Vorinstanz darin beizupflichten, dass die Beschwerdeführer nicht klar und widerspruchsfrei haben angeben können, von wem der volljährige Beschwerdeführer angeblich gesucht worden sei. Bei einer Gesamtwürdigung der Akten kommt das Gericht zum Schluss, dass es ihnen nicht gelungen ist, substanziiert eine konkrete und aktuelle, mit hoher Wahrscheinlichkeit sich realisierende Gefahr einer gezielten Verfolgung von asylbeachtlicher Intensität darzutun. Die geltend gemachte Suche bleibt vage, insbesondere was das mutmassliche Verfolgungsmotiv betrifft. Auffällig ist auch, dass der volljährige Beschwerdeführer erst während seiner Auslandsabwesenheit gesucht worden sein soll. Auch gab er an, mit den syrischen Behörden bisher keine Probleme gehabt zu haben. Insofern als seine Suche während seiner Auslandsabwesenheit Ausdruck von Reflexverfolgung gewesen sein soll, stellt sich die Frage, warum sich jene nicht auf die Beschwerdeführer vor Ort ausgedehnt hat. Gegen eine konkrete Verfolgungsgefahr spricht auch der Umstand, dass er legal und unbehelligt hat nach Ägypten ausreisen können und auch die übrigen Beschwerdeführer das Land legal und unbehelligt verlassen haben. Unter diesem Gesichtspunkt erscheint auch die geltend gemachte Gefahr von Reflexverfolgung infolge des in der Schweiz (angeblich) asylberechtigten volljährigen Sohnes wenig wahrscheinlich, zumal dieser bereits vor dem Umzug der Beschwerdeführer von H._______ nach G._______ den Behörden aufgefallen war und sie - unter seiner Zurücklassung - den Umzug dennoch unbehelligt vornehmen konnten. Soweit als Verfolgungsmotiv Erpressung von Geldleistungen vorgebracht wird, ist zum einen festzuhalten, dass es sich dabei nicht um einen asylbeachtlichen Fluchtgrund handelt; zum andern ist der Vorinstanz zuzustimmen, dass dieses Vorbringen unglaubhaft erscheint, da anzunehmen gewesen wäre, dass entsprechende Geldforderungen auch an die Ehefrau oder ihren Sohn herangetragen worden wären. Daher lässt sich entgegen der Beschwerde aus dem Gefährdungsprofil Unternehmer nichts zu Gunsten der Beschwerdeführer ableiten. Entgegen der Beschwerde lassen sich ebenso wenig aus der Zugehörigkeit der Beschwerdeführer zur Religionsgemeinschaft der Sunniten oder ihrer Herkunft aus einer als oppositionell verrufenen Stadt Asylgründe ableiten, zumal keine Kollektivverfolgung aller Sunniten oder Sunniten aus jener Stadt anzunehmen ist. Entsprechendes gilt für das Stellen eines Asylgesuchs hinsichtlich des Vorliegens eines subjektiven Nachfluchtgrunds. Nach dem Gesagten hat die Vorinstanz das Vorliegen der Flüchtlingseigenschaft zu Recht verneint und die Asylgesuche abgelehnt.</w:t>
      </w:r>
    </w:p>
    <w:p>
      <w:r>
        <w:rPr>
          <w:b/>
        </w:rPr>
        <w:t>E. 6</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ist nicht zu beanstanden (Art. 44 AsylG; vgl. BVGE 2013/37 E 4.4; 2009/50 E. 9, je m.w.H).</w:t>
      </w:r>
    </w:p>
    <w:p>
      <w:r>
        <w:rPr>
          <w:b/>
        </w:rPr>
        <w:t>E. 7</w:t>
      </w:r>
    </w:p>
    <w:p>
      <w:r>
        <w:t>Die Beschwerdeführer sind vorläufig aufgenommen. Dem Antrag auf Feststellung der Unzulässigkeit des Wegweisungsvollzugs fehlt es somit am aktuellen Rechtsschutzinteresse. Darauf ist nicht einzutreten.</w:t>
      </w:r>
    </w:p>
    <w:p>
      <w:r>
        <w:rPr>
          <w:b/>
        </w:rPr>
        <w:t>E. 8</w:t>
      </w:r>
    </w:p>
    <w:p>
      <w:r>
        <w:t>Nach dem Gesagten verletzt die vorinstanzliche Verfügung, soweit sie zu überprüfen ist, Bundesrecht nicht und ist auch sonst nicht zu beanstanden (Art. 106 Abs. 1 AsylG). Die Beschwerde ist abzuweisen, soweit darauf einzutreten ist.</w:t>
      </w:r>
    </w:p>
    <w:p>
      <w:r>
        <w:rPr>
          <w:b/>
        </w:rPr>
        <w:t>E. 9</w:t>
      </w:r>
    </w:p>
    <w:p>
      <w:r>
        <w:t>Die gestellten Begehren erweisen sich als aussichtslos, weshalb die Gesuche um Gewährung der unentgeltlichen Rechtspflege sowie um Beiordnung eines unentgeltlichen Rechtsbeistands, der ausgewiesenen prozessualen Bedürftigkeit ungeachtet, abzuweisen sind (Art. 65 Abs. 1 VwVG und Art. 110a Abs. 1 Bst. a AsylG). Mit dem vorliegenden Entscheid ist das Gesuch um Entbindung von der Kostenvorschusspflicht gegenstandslos worden.</w:t>
      </w:r>
    </w:p>
    <w:p>
      <w:r>
        <w:rPr>
          <w:b/>
        </w:rPr>
        <w:t>E. 10</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