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E-1516/2023 vom 8. März 2023</w:t>
      </w:r>
    </w:p>
    <w:p>
      <w:r>
        <w:t>Bundesverwaltungsgericht, 2023-03-08, DE</w:t>
      </w:r>
    </w:p>
    <w:p>
      <w:r>
        <w:rPr>
          <w:b/>
        </w:rPr>
        <w:t xml:space="preserve">Quelle: </w:t>
      </w:r>
      <w:r>
        <w:t>https://mcp.opencaselaw.ch/entscheid/bvger_E-1516_2023_d20230308</w:t>
      </w:r>
    </w:p>
    <w:p>
      <w:r>
        <w:t>FR: TAF E-1516/2023 du 8 mars 2023</w:t>
      </w:r>
    </w:p>
    <w:p>
      <w:r>
        <w:t>IT: TAF E-1516/2023 del 8 marzo 2023</w:t>
      </w:r>
    </w:p>
    <w:p>
      <w:pPr>
        <w:pStyle w:val="Heading2"/>
      </w:pPr>
      <w:r>
        <w:t>Regeste</w:t>
      </w:r>
    </w:p>
    <w:p>
      <w:r>
        <w:t>Nichteintreten auf Asylgesuch und Wegweisung (Dublin-Verfahren - Art. 31a Abs. 1 Bst. b AsylG) | Nichteintreten auf Asylgesuch und Wegweisung (Dublin-Verfahren); Verfügung des SEM vom 8. März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t>E-1516/2023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Abs. 1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Auf Asylgesuche wird in der Regel nicht eingetreten, wenn Asyl- suchende in einen Drittstaat ausreisen können, der für die Durchführung des Asyl- und Wegweisungsverfahrens staatsvertraglich zuständig ist (Art. 31a Abs. 1 Bst. b AsylG). Zur Bestimmung des staatsvertraglich zu- ständigen Staates prüft das SEM die Zuständigkeitskriterien gemäss Dublin-III-VO. Führt diese Prüfung zur Feststellung, dass ein anderer</w:t>
      </w:r>
    </w:p>
    <w:p>
      <w:r>
        <w:t>E-1516/2023 Seite 5 Mitgliedstaat für die Prüfung des Asylgesuchs zuständig ist, tritt das SEM, nachdem der betreffende Mitgliedstaat einer Überstellung oder Rücküber- 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4.3</w:t>
      </w:r>
    </w:p>
    <w:p>
      <w:r>
        <w:t>Im Rahmen des in den Art. 23–25 Dublin-III-VO geregelten sogenann- ten Wiederaufnahmeverfahrens (engl.: take back) findet hingegen grund- sätzlich keine (erneute) Zuständigkeitsprüfung nach Kapitel III statt. Die Zuständigkeit beziehungsweise die Verpflichtung des Mitgliedstaates zur Wiederaufnahme ergibt sich direkt aus Art. 18 Abs. 1 Bst. b–d beziehungs- weise Art. 20 Abs. 5 Dublin-III-VO (vgl. Urteil des Gerichtshofs der Euro- päischen Union [EuGH; Grosse Kammer] vom 2. April 2019, H. und R., C-582/17 und C-583/17, EU:C:2019:280, Rn. 47–50; BVGE 2019 VI/7 E. 4–6, 2017 VI/5 E. 6.2 und 8.2.1 m.w.H.).</w:t>
      </w:r>
    </w:p>
    <w:p>
      <w:r>
        <w:rPr>
          <w:b/>
        </w:rPr>
        <w:t>E. 4.4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5.1</w:t>
      </w:r>
    </w:p>
    <w:p>
      <w:r>
        <w:t>Ein Abgleich der Fingerabdrücke der Beschwerdeführerin mit der "Eurodac"-Datenbank ergab, dass diese am 14. Januar 2023 in Kroatien um Asyl nachgesucht hatte. Das SEM ersuchte deshalb die kroatischen Behörden am 15. Februar 2023 um Wiederaufnahme der Beschwerde- führerin gestützt auf Art. 23 Dublin-III-VO. Die kroatischen Behörden stimmten dem Gesuch um Übernahme am 1. März 2023 zu.</w:t>
      </w:r>
    </w:p>
    <w:p>
      <w:r>
        <w:t>E-1516/2023 Seite 6</w:t>
      </w:r>
    </w:p>
    <w:p>
      <w:r>
        <w:rPr>
          <w:b/>
        </w:rPr>
        <w:t>E. 5.2</w:t>
      </w:r>
    </w:p>
    <w:p>
      <w:r>
        <w:t>Die Beschwerdeführerin bestritt beim sogenannten Dublin-Gespräch zwar nicht, dass sie in Kroatien ihre Fingerabdrücke abgegeben habe, wohl aber, dass sie dort ein Asylgesuch eingereicht habe. Nachdem die Regist- rierung dieses Gesuchs durch die kroatischen Behörden in der Folge aus- drücklich bestätigt wurde (und die Einreichung des Gesuchs in der Beschwerde denn auch nicht mehr bestritten wird), ist die grundsätzliche Zuständigkeit Kroatiens gegeben.</w:t>
      </w:r>
    </w:p>
    <w:p>
      <w:r>
        <w:rPr>
          <w:b/>
        </w:rPr>
        <w:t>E. 6.1</w:t>
      </w:r>
    </w:p>
    <w:p>
      <w:r>
        <w:t>Im Lichte von Art. 3 Abs. 2 Dublin-III-VO ist zu prüfen, ob es wesentli- che Gründe für die Annahme gibt, das Asylverfahren und die Aufnahme- bedingungen für Asylsuchende in Kroatien würden systemische Schwach- stellen aufweisen, die eine Gefahr einer unmenschlichen oder entwürdi- genden Behandlung im Sinne des Artikels 4 der EU-Grundrechtecharta mit sich bringen würden.</w:t>
      </w:r>
    </w:p>
    <w:p>
      <w:r>
        <w:rPr>
          <w:b/>
        </w:rPr>
        <w:t>E. 6.1.1</w:t>
      </w:r>
    </w:p>
    <w:p>
      <w:r>
        <w:t>Kroatien ist Signatarstaat der EMRK, des Übereinkommens vom</w:t>
      </w:r>
    </w:p>
    <w:p>
      <w:r>
        <w:rPr>
          <w:b/>
        </w:rPr>
        <w:t>E. 6.1.2</w:t>
      </w:r>
    </w:p>
    <w:p>
      <w:r>
        <w:t>Anlässlich des Dublin-Gesprächs vom 15. Februar 2023 berichtete die Beschwerdeführerin darüber, dass sie bei der Ankunft in Kroatien sehr aggressiv behandelt und ihr alle Dokumente abgenommen worden seien. Es habe dort keine menschenwürdigen Bedingungen gegeben, vielmehr seien sie ohne Essen und Trinken in einer Hütte festgehalten worden und zeitweise habe man ihnen ihre Telefone weggenommen. Schliesslich habe man sie in einer Art Tiertransporter ohne Fenster zu einem kalten Gebäude gebracht, wo sie ohne Betten sowie Essen und mit wenig Trinkwasser drei Tage hätten verbringen müssen. Die von der Beschwerdeführerin für die kurze Zeit ihres Aufenthalts in Kroatien geltend gemachte schlechte Be- handlung rechtfertigt es nicht, davon auszugehen, dass sie bei einer Rück- kehr mit hoher Wahrscheinlichkeit Opfer einer unmenschlichen oder er- niedrigenden Behandlung im Sinne von Art. 3 EMRK, Art. 3 FoK oder Art. 4 EU-Grundrechtecharta wird. Bei allfälligem Fehlverhalten einzelner Polizei- beamter oder Privatpersonen kann sie sich zudem – nötigenfalls mit Hilfe der vor Ort tätigen karitativen Organisationen – an die zuständigen kroati- schen Stellen wenden.</w:t>
      </w:r>
    </w:p>
    <w:p>
      <w:r>
        <w:rPr>
          <w:b/>
        </w:rPr>
        <w:t>E. 6.1.3</w:t>
      </w:r>
    </w:p>
    <w:p>
      <w:r>
        <w:t>Soweit die Beschwerdeführerin in der Beschwerdebegründung sinn- gemäss auf die sogenannten Push-backs Bezug nimmt, ist Folgendes fest- zuhalten: Wegen dieser Ereignisse sieht sich Kroatien schon seit geraumer Zeit mit Vorwürfen konfrontiert. Wie in der angefochtenen Verfügung aus- führlich und zutreffend festgestellt wird (vgl. dort S. 4 f.), stehen solche Ereignisse offensichtlich in Zusammenhang mit illegalen Einreisen nach Kroatien insbesondere von Bosnien und Herzegowina sowie von Serbien aus. Sie betreffen demnach die Aussengrenzen Kroatiens zu seinen Nach- barstaaten. Damit ist aber nichts zur vorliegend interessierenden Situation der Rückkehr nach Kroatien nach Durchlaufen eines Dublin-Verfahrens ge- sagt (vgl. BVGer D-5299/2022 vom 30. November 2022 E. 6.2). Bei einer Rücküberstellung nach Kroatien würde die Beschwerdeführerin auf lega- lem Weg in die Hauptstadt Zagreb überstellt. Die Vorinstanz hat eine Ein- zelfallprüfung vorgenommen und ist unter Verweis auf Abklärungen durch die Schweizer Botschaft in Kroatien zu Recht zum Schluss gekommen, dass Personen, welche im Rahmen eines Dublin-Verfahrens nach Kroatien zurückgeführt werden, nicht von der problematischen Push-back-Praxis betroffen sind (vgl. BVGer D-5299/2022 a.a.O.).</w:t>
      </w:r>
    </w:p>
    <w:p>
      <w:r>
        <w:rPr>
          <w:b/>
        </w:rPr>
        <w:t>E. 6.1.4</w:t>
      </w:r>
    </w:p>
    <w:p>
      <w:r>
        <w:t>Unter diesen Umständen ist die Anwendung von Art. 3 Abs. 2 Dublin- III-VO nicht gerechtfertigt.</w:t>
      </w:r>
    </w:p>
    <w:p>
      <w:r>
        <w:t>E-1516/2023 Seite 8</w:t>
      </w:r>
    </w:p>
    <w:p>
      <w:r>
        <w:rPr>
          <w:b/>
        </w:rPr>
        <w:t>E. 6.2</w:t>
      </w:r>
    </w:p>
    <w:p>
      <w:r>
        <w:t>Weiter ist der Frage nachzugehen, ob – wie von der Beschwerdeführe- rin sinngemäss geltend gemacht – völkerrechtliche Vollzugshindernisse nach Art. 3 EMRK (oder einer anderen die Schweiz bindenden völkerrecht- lichen Bestimmung) bestehen, woraus sich zwingende Gründe für einen Selbsteintritt nach Art. 17 Abs. 1 Dublin-III-VO ergeben würden.</w:t>
      </w:r>
    </w:p>
    <w:p>
      <w:r>
        <w:rPr>
          <w:b/>
        </w:rPr>
        <w:t>E. 6.2.1</w:t>
      </w:r>
    </w:p>
    <w:p>
      <w:r>
        <w:t>Die Beschwerdeführerin hat kein konkretes und ernsthaftes Risiko dargetan, dass die kroatischen Behörden sich weigern würden, sie (wie- der) aufzunehmen und ihren Antrag auf internationalen Schutz unter Ein- haltung der Regeln der Verfahrensrichtlinie zu prüfen. Den Akten sind denn auch keine stichhaltigen Gründe für die Annahme zu entnehmen, Kroatien werde in ihrem Fall den Grundsatz des Non-Refoulement missachten und sie zur Ausreise in ein Land zwingen, in dem ihr Leib, ihr Leben oder ihre Freiheit aus einem Grund nach Art. 3 Abs. 1 AsylG gefährdet wäre oder in dem sie Gefahr laufen würde, zur Ausreise in ein solches Land gezwungen zu werden. Auch unter Berücksichtigung der von der Beschwerdeführerin vorgebrachten Übergriffe und Misshandlungen während ihres Aufenthalts in Kroatien besteht kein Grund zur Annahme, die sie bei einer Rückführung erwartenden Bedingungen in Kroatien seien derart schlecht, dass sie zu einer Verletzung von Art. 4 der EU-Grundrechtecharta, Art. 3 EMRK oder Art. 3 FoK führen könnten.</w:t>
      </w:r>
    </w:p>
    <w:p>
      <w:r>
        <w:rPr>
          <w:b/>
        </w:rPr>
        <w:t>E. 6.2.2</w:t>
      </w:r>
    </w:p>
    <w:p>
      <w:r>
        <w:t>Die Beschwerdeführerin hat auch keine konkreten Hinweise für die Annahme dargetan, Kroatien würde ihr dauerhaft die ihr gemäss Aufnah- merichtlinie zustehenden minimalen Lebensbedingungen vorenthalten. Bei einer allfälligen vorübergehenden Einschränkung könnte sie sich im Übri- gen nötigenfalls an die kroatischen Behörden wenden und die ihr zustehen- den Aufnahmebedingungen auf dem Rechtsweg einfordern (vgl. Art. 26 Aufnahmerichtlinie).</w:t>
      </w:r>
    </w:p>
    <w:p>
      <w:r>
        <w:rPr>
          <w:b/>
        </w:rPr>
        <w:t>E. 6.2.3</w:t>
      </w:r>
    </w:p>
    <w:p>
      <w:r>
        <w:t>In Bezug auf die im erstinstanzlichen Verfahren geltend gemachten psychischen Probleme ist anzumerken, dass eine zwangsweise Rückwei- sung von Personen mit gesundheitlichen Problemen nur ganz ausnahms- 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 tion betrifft Schwerkranke, die durch die Abschiebung – mangels ange-</w:t>
      </w:r>
    </w:p>
    <w:p>
      <w:r>
        <w:t>E-1516/2023 Seite 9 messener medizinischer Behandlung im Zielstaat – mit einem realen Risiko konfrontiert würden, einer ernsten, raschen und unwiederbringlichen Ver- schlechterung ihres Gesundheitszustands ausgesetzt zu werden, die zu intensivem Leiden oder einer erheblichen Verkürzung der Lebenserwar- tung führen würde (vgl. Urteil des EGMR Paposhvili gegen Belgien 13. De- zember 2016, Grosse Kammer 41738/10, §§ 180–193 m.w.H.).</w:t>
      </w:r>
    </w:p>
    <w:p>
      <w:r>
        <w:rPr>
          <w:b/>
        </w:rPr>
        <w:t>E. 6.2.4</w:t>
      </w:r>
    </w:p>
    <w:p>
      <w:r>
        <w:t>Von einer solchen Situation ist vorliegend nicht auszugehen, nach- dem die vorgebrachten Beeinträchtigungen weder auf Beschwerdeebene thematisiert noch mittels eines ärztlichen Berichts belegt wurden. Dem- nach scheinen die gesundheitlichen Beschwerden nicht derart gravieren- der Natur, dass sie die Feststellung der Unzulässigkeit im Sinne dieser restriktiven Rechtsprechung zu rechtfertigen vermöchten oder aus huma- nitären Gründen von einer Überstellung abgesehen werden müsste. Im Übrigen ist allgemein bekannt, dass Kroatien über eine ausreichende medizinische Infrastruktur (vgl. statt vieler Urteile BVGer D-6074/2022 vom</w:t>
      </w:r>
    </w:p>
    <w:p>
      <w:r>
        <w:rPr>
          <w:b/>
        </w:rPr>
        <w:t>E. 6.2.5</w:t>
      </w:r>
    </w:p>
    <w:p>
      <w:r>
        <w:t>Nach dem Gesagten kann die Beschwerdeführerin kein konkretes und ernsthaftes Risiko dartun, dass ihre Überstellung nach Kroatien die Verletzung völkerrechtlicher Bestimmungen zur Folge hätte.</w:t>
      </w:r>
    </w:p>
    <w:p>
      <w:r>
        <w:rPr>
          <w:b/>
        </w:rPr>
        <w:t>E. 6.3</w:t>
      </w:r>
    </w:p>
    <w:p>
      <w:r>
        <w:t>Zusammenfassend bestand und besteht kein Grund für eine Anwen- dung der Ermessenklauseln von Art. 17 Dublin-III-VO. An dieser Einschät- zung vermögen auch die Ausführungen in der Beschwerdeeingabe nichts zu ändern. Soweit sich diese auf die schlimmen Erlebnisse der Beschwer- deführerin im Heimatstaat beziehen, werden sich die für das Asylgesuch zuständigen kroatischen Behörden mit diesen Vorbringen inhaltlich be- schäftigen.</w:t>
      </w:r>
    </w:p>
    <w:p>
      <w:r>
        <w:rPr>
          <w:b/>
        </w:rPr>
        <w:t>E. 6.4.1</w:t>
      </w:r>
    </w:p>
    <w:p>
      <w:r>
        <w:t>Gemäss Praxis des Bundesverwaltungsgerichts verfügt das SEM bei der Anwendung der Kann-Bestimmung von Art. 29a Abs. 3 der Asylverord- nung 1 vom 11. August 1999 (AsylV 1, SR 142.311) über einen Ermes- sensspielraum (vgl. BVGE 2015/9 E. 7 f.). Seit der Kognitionsbeschrän-</w:t>
      </w:r>
    </w:p>
    <w:p>
      <w:r>
        <w:t>E-1516/2023 Seite 10 kung durch die Asylgesetzrevision vom 1. Februar 2014 (Streichung der Angemessenheitskontrolle gemäss aArt. 106 Abs. 1 Bst. c AsylG) über- prüft das Bundesverwaltungsgericht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6.4.2</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w:t>
      </w:r>
    </w:p>
    <w:p>
      <w:r>
        <w:rPr>
          <w:b/>
        </w:rPr>
        <w:t>E. 6.5</w:t>
      </w:r>
    </w:p>
    <w:p>
      <w:r>
        <w:t>Zusammenfassend ist festzustellen, dass weder völkerrechtliche Voll- zugshindernisse, welche die Schweiz zum Selbsteintritt verpflichten wür- den, noch Rechtsfehler bei der Ermessensbetätigung vorliegen. Das SEM hat somit das Selbsteintrittsrecht von Art. 17 Dublin-III-VO (bzw. Art. 29a Abs. 3 AsylV 1) zu Recht nicht ausgeübt. Somit bleibt Kroatien der für die Behandlung des Asylgesuchs der Beschwerdeführerin zuständige Mit- gliedstaat gemäss Dublin-III-VO und ist verpflichtet, das Asylverfahren ge- mäss Art. 23, 24, 25 und 29 wiederaufzunehmen. 7. Das SEM ist demnach zu Recht in Anwendung von Art. 31a Abs. 1 Bst. b AsylG auf das Asylgesuch der Beschwerdeführerin nicht eingetreten. Da sie nicht im Besitz einer gültigen Aufenthalts- oder Niederlassungsbewilli- gung ist, wurde die Überstellung nach Kroatien in Anwendung von Art. 44 AsylG ebenfalls zu Recht angeordnet (Art. 32 Bst. a AsylV 1). 8. Aus den vorstehenden Erwägungen ergibt sich, dass die angefochtene Verfügung Bundesrecht nicht verletzt und den rechtserheblichen Sachver- halt richtig sowie vollständig feststellt (Art. 106 Abs. 1 AsylG). Die Beschwerde ist folglich abzuweisen.</w:t>
      </w:r>
    </w:p>
    <w:p>
      <w:r>
        <w:t>E-1516/2023 Seite 11 9. 9.1 Der am 20. März 2023 superprovisorisch angeordnete Vollzugsstopp fällt mit dem vorliegenden Urteil dahin. 9.2 Mit dem Entscheid in der Hauptsache werden auch die Gesuche um Erteilung der aufschiebenden Wirkung und um Verzicht auf die Erhebung eines Kostenvorschusses gegenstandslos.</w:t>
      </w:r>
    </w:p>
    <w:p>
      <w:r>
        <w:rPr>
          <w:b/>
        </w:rPr>
        <w:t>E. 7</w:t>
      </w:r>
    </w:p>
    <w:p>
      <w:r>
        <w:t>Das SEM ist demnach zu Recht in Anwendung von Art. 31a Abs. 1 Bst. b AsylG auf das Asylgesuch der Beschwerdeführerin nicht eingetreten. Da sie nicht im Besitz einer gültigen Aufenthalts- oder Niederlassungsbewilligung ist, wurde die Überstellung nach Kroatien in Anwendung von Art. 44 AsylG ebenfalls zu Recht angeordnet (Art. 32 Bst. a AsylV 1).</w:t>
      </w:r>
    </w:p>
    <w:p>
      <w:r>
        <w:rPr>
          <w:b/>
        </w:rPr>
        <w:t>E. 8</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9.1</w:t>
      </w:r>
    </w:p>
    <w:p>
      <w:r>
        <w:t>Der am 20. März 2023 superprovisorisch angeordnete Vollzugsstopp fällt mit dem vorliegenden Urteil dahin.</w:t>
      </w:r>
    </w:p>
    <w:p>
      <w:r>
        <w:rPr>
          <w:b/>
        </w:rPr>
        <w:t>E. 9.2</w:t>
      </w:r>
    </w:p>
    <w:p>
      <w:r>
        <w:t>Mit dem Entscheid in der Hauptsache werden auch die Gesuche um Erteilung der aufschiebenden Wirkung und um Verzicht auf die Erhebung eines Kostenvorschusses gegenstandslos.</w:t>
      </w:r>
    </w:p>
    <w:p>
      <w:r>
        <w:rPr>
          <w:b/>
        </w:rPr>
        <w:t>E. 10</w:t>
      </w:r>
    </w:p>
    <w:p>
      <w:r>
        <w:t>Das mit der Beschwerde gestellte Gesuch um Gewährung der unentgeltli- chen Prozessführung ist ungeachtet der Frage der prozessualen Bedürftigkeit abzuweisen, da die Begehren – wie sich aus den vorstehen- den Erwägungen ergibt – als aussichtslos zu bezeichnen waren, weshalb die Voraussetzungen von Art. 65 Abs. 1 VwVG nicht erfüllt sind.</w:t>
      </w:r>
    </w:p>
    <w:p>
      <w:r>
        <w:rPr>
          <w:b/>
        </w:rPr>
        <w:t>E. 11</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w:t>
      </w:r>
    </w:p>
    <w:p>
      <w:r>
        <w:t>(Dispositiv nächste Seite)</w:t>
      </w:r>
    </w:p>
    <w:p>
      <w:r>
        <w:t>E-1516/2023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