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E-1513/2018 vom 25. April 2018</w:t>
      </w:r>
    </w:p>
    <w:p>
      <w:r>
        <w:t>Bundesverwaltungsgericht, 2018-04-25, DE</w:t>
      </w:r>
    </w:p>
    <w:p>
      <w:r>
        <w:rPr>
          <w:b/>
        </w:rPr>
        <w:t xml:space="preserve">Quelle: </w:t>
      </w:r>
      <w:r>
        <w:t>https://mcp.opencaselaw.ch/entscheid/bvger_E-1513_2018</w:t>
      </w:r>
    </w:p>
    <w:p>
      <w:r>
        <w:t>FR: TAF E-1513/2018 du 25 avril 2018</w:t>
      </w:r>
    </w:p>
    <w:p>
      <w:r>
        <w:t>IT: TAF E-1513/2018 del 25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festzustellen, dass der Beschwerde von Gesetzes wegen aufschiebende Wirkung zukommt (Art. 55 VwVG) und die Vorinstanz diese vorliegend nicht entzogen hat. Der entsprechende Eventualantrag auf Gewährung der aufschiebenden Wirkung ist daher gegenstandslos.</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nach Art. 7 AsylG noch denjenigen an die Flüchtlingseigenschaft gemäss Art. 3 AsylG stand. Er habe unterschiedliche Angaben zum Grund und Inhalt der Drohungen durch die Taliban gemacht. Weiter habe er sich mehrmals widersprochen, wie oft und wie er bedroht worden sei. Anlässlich der BzP habe er ausgeführt, die Taliban hätten drei Mal bei ihm zuhause einen Drohbrief abgegeben. Kurz darauf habe er erwähnt, nur einen Drohbrief erhalten zu haben und einmal seien Leute zu ihm nachhause gekommen. Anlässlich der Anhörung habe er hingegen durchgehend von zwei Drohbriefen und einer persönlichen Drohung gesprochen. Es würden deshalb erste Zweifel an der Glaubhaftigkeit seiner Aussagen bezüglich der Bedrohung durch die Taliban entstehen. Es sei ihm mehrmals Gelegenheit gegeben worden, über seine Bedrohung durch die Taliban zu sprechen. Trotz mehrmaliger Nachfragen und Aufforderungen seien seine Schilderungen hierzu vage und einsilbig ausgefallen. Es sei nicht nachvollziehbar, weshalb er ein solch einschneidendes Erlebnis nicht ausführlicher beschreiben könne. Ferner habe er weder ausführlich geschildert, was ihn konkret zur Aufgabe seiner Arbeit bewegt habe, noch weshalb er gerade im Dezember des Jahres 2015 und damit zirka zwei Jahre nach der letzten Drohung durch die Taliban ausgereist sei. Aufgrund seiner vagen und knappen Aussagen würden die Zweifel an der Glaubhaftigkeit seiner Aussagen weiter erhärtet. Insgesamt würden seine Ausführungen konstruiert wirken und nicht der Eindruck entstehen, als hätte er das Geschilderte tatsächlich selbst erlebt. In Würdigung sämtlicher Umstände sei festzuhalten, dass er nicht glaubhaft habe machen können, von den Taliban aufgrund seiner Arbeitstätigkeit bedroht worden zu sein. Dieses Vorbringen halte den Anforderungen an Art. 7 AsylG nicht stand, weshalb dessen Asylrelevanz nicht geprüft werden müsse. Es erübrige sich damit auch, die von ihm geltend gemachte Bedrohung seiner Brüder aufgrund seiner Ausreise einer Glaubhaftigkeitsprüfung zu unterziehen. Weiter habe er geltend gemacht, als (...) in Mazar-e-Sharif für eine ausländische Organisation in verschiedenen Häusern beim (...), wo Amerikaner leben würden, tätig gewesen zu sein. Die Taliban würden jemanden, der für eine ausländische Organisation arbeite, als Feind des Islams bezeichnen. Er selber habe den Auftrag von einem Afghanen erhalten. Dieser habe den Auftrag wiederum von einer afghanischen Baufirma erhalten und diese von einer ausländischen Organisation. Kontakte mit Ausländern habe er persönlich nicht gehabt. Diese Arbeit habe er Mitte des Jahres 2013 aufgegeben. Die letzten beiden Jahre vor seiner Ausreise habe er keine Drohungen erhalten. Es sei deshalb nicht davon auszugehen, dass er einem hohen Risiko ausgesetzt sei, von den Taliban wegen der (...) verfolgt zu werden. Hierfür spreche, dass er nach dem Verlassen der Arbeitsstelle noch zirka zweieinhalb Jahre in Afghanistan geblieben sei und die restlichen zwei Jahre keine Drohungen erhalten habe. Dieses Vorbringen halte den Anforderungen an die Flüchtlingseigenschaft gemäss Art. 3 AsylG nicht stand.</w:t>
      </w:r>
    </w:p>
    <w:p>
      <w:r>
        <w:rPr>
          <w:b/>
        </w:rPr>
        <w:t>E. 5.2</w:t>
      </w:r>
    </w:p>
    <w:p>
      <w:r>
        <w:t>In der Rechtsmitteleingabe macht der Beschwerdeführer geltend, da die BzP auf Dari geführt worden sei, habe es scheinbar einen Fehler bei der Übersetzung gegeben. Wie er anlässlich der Anhörung gesagt habe, habe er zwei Drohbriefe erhalten und einmal seien die Taliban bei seiner Familie vorbeigekommen. Da er selber nicht in Kabul gewesen sei, als die Drohungen ausgesprochen worden seien, könne er diese auch nicht detailliert beschreiben.</w:t>
      </w:r>
    </w:p>
    <w:p>
      <w:r>
        <w:rPr>
          <w:b/>
        </w:rPr>
        <w:t>E. 5.3</w:t>
      </w:r>
    </w:p>
    <w:p>
      <w:r>
        <w:t>Die vorinstanzliche Beweiswürdigung ist nicht zu beanstanden. In der angefochtenen Verfügung wird einlässlich dargelegt, aus welchen Gründen die Vorbringen des Beschwerdeführers einerseits den Anforderungen an Art. 7 AsylG und andererseits denjenigen an Art. 3 AsylG nicht genügen würden. Der Beschwerdeführer leitet seine Gefährdung von den Drohungen durch die Taliban ab. Insoweit darf von ihm erwartet werden, dass er diese auch substantiiert zu begründen vermag. Mit der Vorinstanz ist festzustellen, dass es nicht nachvollziehbar erscheint, weshalb er ein solch einschneidendes Erlebnis nicht ausführlicher beschreiben kann, selbst unter Berücksichtigung seiner Aussagen, er sei im jeweiligen Zeitpunkt selber nicht anwesend gewesen. Dass in Bezug auf die Anzahl der Drohungen durch die Taliban ein Fehler bei der Übersetzung vorgelegen haben dürfte, ist - nachdem ihm das Protokoll der BzP rückübersetzt wurde und er dessen Richtigkeit mit seiner Unterschrift bestätigte - als nachgeschobenes Argument zu bewerten und damit unerheblich. Schliesslich legt der Beschwerdeführer mit dem Wiederholen des aktenkundigen Sachverhalts nicht dar, inwiefern ihn die Vorinstanz zu Unrecht nicht als Flüchtling anerkannt hat. Um Wiederholungen zu vermeiden, kann vollumfänglich auf die zutreffenden Erwägungen in der angefochtenen Verfügung verwiesen werden. Auch das im Beschwerdeverfahren eingereichte Schreiben des Vaters des Beschwerdeführers vermag die Drohungen durch die Taliban nicht zu beweisen, zumal es sich um ein Schreiben eines Verwandten handelt und somit als Gefälligkeitsschreiben zu qualifizieren ist.</w:t>
      </w:r>
    </w:p>
    <w:p>
      <w:r>
        <w:rPr>
          <w:b/>
        </w:rPr>
        <w:t>E. 5.4</w:t>
      </w:r>
    </w:p>
    <w:p>
      <w:r>
        <w:t>Zusammenfassend ist festzuhalten, dass die Vorinstanz die Flüchtlingseigenschaft des Beschwerdeführers zu Recht verneint und sein Asylgesuch abgelehnt hat.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7.2.1</w:t>
      </w:r>
    </w:p>
    <w:p>
      <w:r>
        <w:t>Zur Zumutbarkeit des Wegweisungsvollzuges führte die Vorinstanz in der angefochtenen Verfügung aus, unter Berücksichtigung des Referenz-urteils D-5800/2016 des Bundesverwaltungsgerichts vom 13. Oktober 2017 seien beim Beschwerdeführer besonders begünstigende Umstände zu bejahen. Er stamme aus der näheren Umgebung von Kabul und habe dort seit seiner Geburt bis zu seiner Ausreise gelebt. Mit seinen Eltern, seiner Schwester und dem Halbbruder seines Vaters habe er ein tragfähiges soziales Beziehungsnetz und eine Unterkunftsmöglichkeit. Er habe die Matura abgeschlossen und weise Berufserfahrung auf. Er habe erwähnt, vom Lohn als (...) sehr gut gelebt und keine finanziellen Probleme gehabt zu haben. Es sei davon auszugehen, dass er sich in Afghanistan schnell wieder integrieren könne, um sich seine Existenz selber sichern zu können. Mit seinen knapp (...) Jahren sei er ein junger Mann und bei guter Gesundheit. Demzufolge erweise sich der Vollzug der Wegweisung als zumutbar.</w:t>
      </w:r>
    </w:p>
    <w:p>
      <w:r>
        <w:rPr>
          <w:b/>
        </w:rPr>
        <w:t>E. 7.2.2</w:t>
      </w:r>
    </w:p>
    <w:p>
      <w:r>
        <w:t>In der Rechtsmitteleingabe macht der Beschwerdeführer geltend, das Urteil D-5800/2016 vom 13. Oktober 2017 sei auf seinen Fall nicht anwendbar. In Erwägung 6.2.1 des Urteils werde von der "Hauptstadt Kabul" gesprochen und in Erwägung 6.2.2 von der "Stadt Kabul". Er stamme jedoch, wie anlässlich der BzP erwähnt, aus dem Dorf B._______, welches zirka (...) Minuten von Kabul entfernt liege. Des Weiteren lebe seine Familie seit zirka (...) Monaten in C._______ (Provinz Nangarhar), weil sie in Kabul von den Taliban bedroht worden seien. Er werde Beweise dafür nachreichen.</w:t>
      </w:r>
    </w:p>
    <w:p>
      <w:r>
        <w:rPr>
          <w:b/>
        </w:rPr>
        <w:t>E. 7.2.3</w:t>
      </w:r>
    </w:p>
    <w:p>
      <w:r>
        <w:t>Was die allgemeine Lage in Afghanistan betrifft, kann vorab auf das bereits erwähnte Referenzurteil D-5800/2016 vom 13. Oktober 2017 verwiesen werden. Gemäss diesem Entscheid hat sich die Sicherheitssituation in den letzten Jahren über alle Regionen hinweg deutlich verschlechtert und die humanitären Bedingungen in weiten Teilen Afghanistans sind als existenzbedrohend zu qualifizieren. Ein Vollzug der Wegweisung dorthin ist deshalb als unzumutbar im Sinne von Art. 83 Abs. 4 AuG zu beurteilen. Betreffend die Hauptstadt Kabul kann von dieser allgemeinen Feststellung abgewichen werden, falls besonders begünstigende Faktoren vorliegen und die betroffene Person bei einer Rückkehr nicht in eine existenzbedrohende Lage gerät (E. 8.4.1). Solche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7.2.4</w:t>
      </w:r>
    </w:p>
    <w:p>
      <w:r>
        <w:t>Der Beschwerdeführer stammt aus dem Dorf B._______, Bezirk (...), Provinz Kabul. Entgegen den Ausführungen der Vorinstanz erweist sich gemäss Rechtsprechung ein Wegweisungsvollzug in das Heimatdorf des Beschwerdeführers in Anbetracht der aktuellen Sicherheitslage als unzumutbar. Zu prüfen ist somit, ob für den Beschwerdeführer in Kabul eine zumutbare innerstaatliche Aufenthaltsalternative besteht. Der Beschwerdeführer ist ein junger und - soweit aus den Akten ersichtlich - gesunder Mann. Er hat nach (...) Jahren die Schule mit der Matura abgeschlossen. Vom Ende des Jahres 2012 bis Mitte des Jahres 2013 hat er in Mazar-e-Sharif als (...) gearbeitet. Danach hat er als (...) in Kabul (vgl. SEM-Akten A5/12 Ziff. 1.17.05) und als (...) in D._______ und in anderen Dörfern bei Kabul gearbeitet (vgl. SEM-Akten A5/12 Ziff. 7.01). Insofern verfügt der Beschwerdeführer zwar über eine gute Ausbildung und Berufserfahrung. Damit allein kann aufgrund der gemäss Rechtsprechung gebotenen Zurückhaltung bei der Annahme einer Aufenthaltsalternative jedoch nicht auf ein tragfähiges Beziehungsnetz geschlossen werden. Die Eltern, Geschwister sowie weitere Verwandte des Beschwerdeführers leben im Dorf B._______ sowie in E._______ (vgl. SEM-Akten A34/18 F7 ff.). Vor diesem Hintergrund ist davon auszugehen, dass der Beschwerdeführer bei einer Rückkehr nach Kabul aufgrund des fehlenden sozialen Netzes in eine existenzbedrohende Lage geraten würde. Kabul stellt folglich keine innerstaatliche Wohnsitzalternative dar. Der Vollzug dorthin ist unzumutbar. Der Beschwerdeführer ist in der Schweiz vorläufig aufzunehmen. Es ist indessen an dieser Stelle ausdrücklich darauf hinzuweisen, dass bei erneuter Straffälligkeit eine Überprüfung und allfällige Aufhebung der vorläufigen Aufnahme jederzeit möglich ist (Art. 83 Abs. 7 AuG).</w:t>
      </w:r>
    </w:p>
    <w:p>
      <w:r>
        <w:rPr>
          <w:b/>
        </w:rPr>
        <w:t>E. 7.3</w:t>
      </w:r>
    </w:p>
    <w:p>
      <w:r>
        <w:t>Da die Wegweisungsvollzugshindernisse alternativer Natur sind (vgl. BVGE 2009/51 E. 5.4 S. 748), sind die Zulässigkeit und die Möglichkeit des Vollzugs nicht mehr zu prüfen.</w:t>
      </w:r>
    </w:p>
    <w:p>
      <w:r>
        <w:rPr>
          <w:b/>
        </w:rPr>
        <w:t>E. 8</w:t>
      </w:r>
    </w:p>
    <w:p>
      <w:r>
        <w:t>Die Beschwerde ist demnach teilweise gutzuheissen. Die Dispositivziffern 4 und 5 der Verfügung vom 22. Februar 2018 sind aufzuheben und die Vorinstanz ist anzuweisen, den Beschwerdeführer wegen Unzumutbarkeit des Wegweisungsvollzuges in der Schweiz vorläufig aufzunehmen. Im Übrigen ist die Beschwerde abzuweisen.</w:t>
      </w:r>
    </w:p>
    <w:p>
      <w:r>
        <w:rPr>
          <w:b/>
        </w:rPr>
        <w:t>E. 9.1</w:t>
      </w:r>
    </w:p>
    <w:p>
      <w:r>
        <w:t>Bei diesem Ausgang des Verfahrens ist von einem hälftigen Obsiegen des Beschwerdeführers auszugehen. Demnach hätte der Beschwerdeführer die Verfahrenskosten zur Hälfte zu tragen (vgl. Art. 63 Abs. 1 VwVG). Indes beantragt er die Gewährung der unentgeltlichen Prozessführung und amtlichen Verbeiständung. Aufgrund der vorstehenden Erwägungen ergibt sich, dass seine Begehren nicht als aussichtslos zu gelten haben. Zudem ist seine Bedürftigkeit durch die Fürsorgebestätigung vom 8. März 2018 belegt. Das Gesuch um Gewährung der unentgeltlichen Prozessführung ist daher gutzuheissen. Es sind demnach keine Verfahrenskosten zu erheben.</w:t>
      </w:r>
    </w:p>
    <w:p>
      <w:r>
        <w:rPr>
          <w:b/>
        </w:rPr>
        <w:t>E. 9.2</w:t>
      </w:r>
    </w:p>
    <w:p>
      <w:r>
        <w:t>Bezüglich der Gewährung eines amtlichen Rechtsbeistandes ist festzuhalten, dass das Verfahren zum Zeitpunkt der Einreichung des Schreibens vom 4. April 2018 bereits spruchreif war und damit für das Gericht keinen Anlass bestand, Ass. iur. Christian Hoffs als amtlichen Rechtsbeistand einzusetzen.</w:t>
      </w:r>
    </w:p>
    <w:p>
      <w:r>
        <w:rPr>
          <w:b/>
        </w:rPr>
        <w:t>E. 9.3</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Beschwerdeführer hat die Beschwerdeschrift selbst verfasst. Mit der Eingabe vom 4. April 2018 hat der Rechtsvertreter lediglich seine Mandatsübernahme angezeigt und Beweismittel eingereicht. Es ist demnach nicht davon auszugehen, dass dem Beschwerdeführer aus dem vorliegenden Verfahren verhältnismässig hohe Kosten entstanden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