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E-1512/2014 vom 13. Mai 2014</w:t>
      </w:r>
    </w:p>
    <w:p>
      <w:r>
        <w:t>Bundesverwaltungsgericht, 2014-05-13, DE</w:t>
      </w:r>
    </w:p>
    <w:p>
      <w:r>
        <w:rPr>
          <w:b/>
        </w:rPr>
        <w:t xml:space="preserve">Quelle: </w:t>
      </w:r>
      <w:r>
        <w:t>https://mcp.opencaselaw.ch/entscheid/bvger_E-1512_2014</w:t>
      </w:r>
    </w:p>
    <w:p>
      <w:r>
        <w:t>FR: TAF E-1512/2014 du 13 mai 2014</w:t>
      </w:r>
    </w:p>
    <w:p>
      <w:r>
        <w:t>IT: TAF E-1512/2014 del 13 maggio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Der Beschwerdeführer rügt vorneweg die Verletzung des rechtlichen Gehörs, indem die Vorinstanz ihre Anfrage an die maltesischen Behörden sowie deren Antwort über die psychiatrische Betreuung des Beschwerdeführers diesem weder zur Einsichtnahme noch zur Stellungnahme vorgelegt habe. Mit Zwischenverfügung vom 1. April 2014 hat das Gericht dem Beschwerdeführer vorerwähnte Anfrage und Antwort zur Stellungnahme unterbreitet, wovon dieser mit Eingabe vom 9. April 2014 Gebrauch gemacht hat. Damit ist die vorinstanzliche Gehörsverletzung geheilt.</w:t>
      </w:r>
    </w:p>
    <w:p>
      <w:r>
        <w:rPr>
          <w:b/>
        </w:rPr>
        <w:t>E. 4.1</w:t>
      </w:r>
    </w:p>
    <w:p>
      <w:r>
        <w:t>Nach Art. 34 Abs. 2 Bst. d AsylG wird auf ein Asylgesuch in der Regel nicht eingetreten, wenn Asylsuchende in einen Drittstaat ausreisen können, welcher für die Durchführung des Asyl- und Wegweisungsverfahrens staatsvertraglich zuständig ist.</w:t>
      </w:r>
    </w:p>
    <w:p>
      <w:r>
        <w:rPr>
          <w:b/>
        </w:rPr>
        <w:t>E. 4.2</w:t>
      </w:r>
    </w:p>
    <w:p>
      <w:r>
        <w:t>Die Vorinstanz stellt in der angefochtenen Verfügung fest, die maltesischen Behörden hätten dem Übernahmeersuchen zugestimmt. Weiter führte sie aus, weder die in Malta herrschende Situation noch andere Gründe würden gegen die Zumutbarkeit der Wegweisung sprechen.</w:t>
      </w:r>
    </w:p>
    <w:p>
      <w:r>
        <w:rPr>
          <w:b/>
        </w:rPr>
        <w:t>E. 5.1</w:t>
      </w:r>
    </w:p>
    <w:p>
      <w:r>
        <w:t>Malta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w:t>
      </w:r>
    </w:p>
    <w:p>
      <w:r>
        <w:rPr>
          <w:b/>
        </w:rPr>
        <w:t>E. 5.2</w:t>
      </w:r>
    </w:p>
    <w:p>
      <w:r>
        <w:t>Das Bundesverwaltungsgericht hat sich im Urteil BVGE 2012/27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5.3.1</w:t>
      </w:r>
    </w:p>
    <w:p>
      <w:r>
        <w:t>Das Bundesverwaltungsgerichtes hat in seinem Urteil E-399/2014 vom 29. Januar 2014 gegen die erste Verfügung der Vorinstanz festgestellt, dass es sich beim Beschwerdeführer aufgrund seines in Malta erfolgten Selbsttötungsversuches mutmasslich um eine Person mit spezifischer Verletzlichkeit handelt. Folglich habe die Vorinstanz näher zu begründen, weshalb der Beschwerdeführer trotz seiner gesundheitlichen Probleme nach Malta überstellt werden kann, ohne in seinen Grundrechten verletzt zu werden. Die Vorinstanz hat in der Folge die maltesischen Behörden über die gesundheitliche Situation des Beschwerdeführers informiert und sich nach einer geeigneten Unterbringungsmöglichkeit sowie entsprechender medizinischer Behandlung erkundigt, worauf die verantwortliche Stelle erklärte, die Unterbringung in einem offenen Asylzentrum anzustreben und dem Beschwerdeführer dort nach Bedarf die in Bezug auf seine Krankheit nötige kostenlose psychologische Behandlung zukommen zu lassen.</w:t>
      </w:r>
    </w:p>
    <w:p>
      <w:r>
        <w:rPr>
          <w:b/>
        </w:rPr>
        <w:t>E. 5.3.2</w:t>
      </w:r>
    </w:p>
    <w:p>
      <w:r>
        <w:t>Die Einwände des Beschwerdeführers zielen im Wesentlichen darauf, dass sowohl die Anzahl als auch die zeitliche Verfügbarkeit des Fachpersonals in einem offenen Asylzentrum nicht ausreichen würde, ihm - zumal im Notfall - die erforderliche psychologisch-medizinische Betreuung zu garantieren. Dem ist Folgendes entgegenzuhalten: Die Tatsache, dass der Beschwerdeführer nach dem Suizidversuch anlässlich seines Aufenthaltes auf Malta dort während Monaten in einem Spital stationär behandelt wurde, bestätigt zum einen das Vorhandensein der nötigen In-frastruktur und zum anderen die Hilfsbereitschaft der zuständigen Dienste. Hieraus e contrario zu schliessen, dass eine vergleichbare ambulante Betreuung in einem offenen Zentrum nicht gewährleistet wäre, ist nicht plausibel, zumal aus dem erwähnten Bericht der Schweizerischen Flüchtlingshilfe von 2011 über die gewöhnlichen Präsenzzeiten des Pflege- und Fachpersonals im Marsa Open Center nicht von vornherein auf dessen Unverfügbarkeit im Notfall geschlossen werden kann. Der Beschwerdeführer stützt seine Vorbringen auf den Bericht von Dr. Neil Falzon vom Oktober 2013, der wiederum auf diversen Berichten aus den Jahren 2008 bis 2013 basiert; darunter namentlich auf einem Besuch des Menschenrechtskommissars des Europarates in Malta vom März 2011, bei welchem dieser feststellen musste, dass "psychisch Kranke, traumatisierte Personen und Folteropfer für gewöhnlich in open centers untergebracht" würden, "wo die Angestellten nicht in der Lage" seien, "notwendige, spezialisierte Unterstützung zu bieten" (Beschwerdeergänzung Punkt 1, zweitletzter Absatz). Dieser dreijährigen Schilderung stehen neuere Erkenntnisse der Vorinstanz aus dem Mai 2013 gegenüber, wonach sich die Bedingungen in den Unterkünften in den letzten Jahren klar verbessert hätten. Jedenfalls ist mit der Vorinstanz einig zu gehen, dass der Bericht des Menschenrechtskommissars nicht geeignet ist, im Sinne der EMRK die Gefahr eines "real risk" nachzuweisen, welche dem Beschwerdeführer in Malta drohen würde. Der Beschwerdeführer konnte nicht glaubhaft darlegen, dass beziehungsweise inwiefern eine Rückkehr nach Malta tatsächlich eine Verletzung seiner Grundrechte zur Folge hätte, zumal eine zwangsweise Rückführung von Personen mit gesundheitlichen Problemen gemäss Rechtsprechung des Bundesverwaltungsgerichts (Urteile des BVGer E-689/2014 vom 14. Februar 2014; D-422/2014 vom 4. Februar 2014) nur dann ein Verstoss gegen Art. 3 EMRK darstellt, wenn die betroffene Person sich in einem fortgeschrittenen oder terminalen Krankheitsstadium und bereits in Todesnähe befindet, wie die Vorinstanz richtig feststellt. Der Beschwerdeführer ist dieser Kategorie offensichtlich nicht zuzurechnen. Darüber hinaus hat die Vorinstanz zugesichert, mit entsprechender Einwilligungserklärung des Beschwerdeführers die zuständigen maltesischen Behörden gemäss Art. 32 Dublin-III-VO vor seiner Überstellung über den Umstand seiner im Flüchtlingslager erfolgten Vergewaltigung zu informieren, damit diese den besonderen Bedürfnissen des Beschwerdeführers Rechnung tragen können. Mit Bezug auf die vorgebrachte mögliche Inhaftierung des Beschwerdeführers anlässlich seiner Rückkehr nach Malta hat die Vorinstanz ausgeführt, dass keine objektiven Gründe existieren, eine solche zu befürchten. Eine Inhaftierung des Beschwerdeführers wegen einer möglichen Verletzung des maltesischen Immigration Act anlässlich seiner irregulären Ausreise ist unter den gegebenen Umständen unwahrscheinlich. Letztlich bleibt es eine blosse Behauptung des Beschwerdeführers, dass ihm eine Haftstrafe drohe, und eine allfällige Verletzung maltesischen Rechts kann nicht die Rückführung nach Malta verhindern. Die gesundheitliche Situation des Beschwerdeführers kann aufgrund der ärztlichen Protokolle als stabil bezeichnet werden. Die nun angekündigte psychotherapeutische Behandlung kann ohne weiteres auch auf Malta in Anspruch genommen werden. Es sind sodann keine Anhaltspunkte ersichtlich, dass Malta seinen staatsvertraglichen Verpflichtungen nicht nachkommen würde, der Beschwerdeführer unter Missachtung von Art. 3 EMRK einer menschenunwürdigen oder erniedrigenden Behandlung ausgesetzt wäre oder das flüchtlingsrechtliche Non-refoulement-Gebot verletzt würde.</w:t>
      </w:r>
    </w:p>
    <w:p>
      <w:r>
        <w:rPr>
          <w:b/>
        </w:rPr>
        <w:t>E. 5.4</w:t>
      </w:r>
    </w:p>
    <w:p>
      <w:r>
        <w:t>Zusammengefasst hat der Beschwerdeführer somit nichts vorgebracht, das geeignet wäre, die vorinstanzlichen Erwägungen umzustossen. Die Vorinstanz ist demnach zutreffend von der Zuständigkeit Maltas ausgegangen und in Anwendung von Art. 34 Abs. 2 Bst. d AsylG zu Recht auf das Asylgesuch nicht eingetreten.</w:t>
      </w:r>
    </w:p>
    <w:p>
      <w:r>
        <w:rPr>
          <w:b/>
        </w:rPr>
        <w:t>E. 6.1</w:t>
      </w:r>
    </w:p>
    <w:p>
      <w:r>
        <w:t>Gemäss Art. 44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AsylG i.V.m. Art. 83 Abs. 1 - 4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Malta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Damit sind der Antrag auf Wiederherstellung der aufschiebenden Wirkung sowie der Antrag, die kantonalen Behörden seien anzuweisen, von Vollzugshandlungen abzusehen, gegenstandslos geworden.</w:t>
      </w:r>
    </w:p>
    <w:p>
      <w:r>
        <w:rPr>
          <w:b/>
        </w:rPr>
        <w:t>E. 8.1</w:t>
      </w:r>
    </w:p>
    <w:p>
      <w:r>
        <w:t>Der Beschwerdeführer beantragt die Gewährung der unentgeltlichen Prozessführung gemäss Art. 65 Abs. 1 VwVG. Aus den vorstehenden Erwägungen ergibt sich, dass sein Begehren als aussichtslos zu gelten hat. Damit ist eine der kumulativ zu erfüllenden Voraussetzungen zur Gewährung der unentgeltlichen Rechtspflege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