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E-1510/2017 vom 11. Dezember 2018</w:t>
      </w:r>
    </w:p>
    <w:p>
      <w:r>
        <w:t>Bundesverwaltungsgericht, 2018-12-11, FR</w:t>
      </w:r>
    </w:p>
    <w:p>
      <w:r>
        <w:rPr>
          <w:b/>
        </w:rPr>
        <w:t xml:space="preserve">Quelle: </w:t>
      </w:r>
      <w:r>
        <w:t>https://mcp.opencaselaw.ch/entscheid/bvger_E-1510_2017</w:t>
      </w:r>
    </w:p>
    <w:p>
      <w:r>
        <w:t>FR: TAF E-1510/2017 du 11 décembre 2018</w:t>
      </w:r>
    </w:p>
    <w:p>
      <w:r>
        <w:t>IT: TAF E-1510/2017 del 11 dicembre 2018</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LAsi, devant le Tribunal, lequel, sauf l'exception visée par l'art. 83 let. d ch. 1 de la loi du 17 juin 2005 sur le Tribunal fédéral (LTF, RS 173.110), non réalisée en l'espèce, statue définitivement.</w:t>
      </w:r>
    </w:p>
    <w:p>
      <w:r>
        <w:rPr>
          <w:b/>
        </w:rPr>
        <w:t>E. 1.3</w:t>
      </w:r>
    </w:p>
    <w:p>
      <w:r>
        <w:t>L'intéressée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ajoute de façon tardive et sans raison apparente.</w:t>
      </w:r>
    </w:p>
    <w:p>
      <w:r>
        <w:rPr>
          <w:b/>
        </w:rPr>
        <w:t>E. 3.1</w:t>
      </w:r>
    </w:p>
    <w:p>
      <w:r>
        <w:t>En l'occurrence, le Tribunal considère que le SEM a, à raison, relevé que les allégations de l'intéressée, peu circonstanciées, peu plausibles et comportant des divergences, n'étaient pas crédibles. Il convient d'abord de relever que, de manière générale, les propos de la recourante se sont avérés fuyants, simplistes et stéréotypés. Elle s'est contentée de répondre aux questions, pourtant claires et répétées, par des propos généraux, n'apportant pas les développements souhaités aux demandes de précisions. A titre d'exemple, au sujet de sa prétendue détention, d'une durée de trois mois, elle a affirmé avoir été incarcérée dans une cellule sale et infestée de cafards, de punaises et de poux. Elle a indiqué que ses conditions de détentions étaient « difficiles ». Si la recourante avait réellement passé trois mois dans les geôles érythréennes, elle aurait été sans difficultés en mesure de décrire de manière plus détaillée et spontanée les conditions de détention. La description qu'elle en a livrée n'est à l'évidence pas révélatrice d'un vécu personnel. On peine aussi à comprendre pour quelle raison les autorités l'auraient libérée « le temps [qu'elle] guérisse », sachant qu'elle avait été emprisonnée en raison de la défection de son père, qui restait disparu, que les autorités souhaitaient la convoquer et que son père, déjà, avait refusé de se présenter à des convocations. L'explication apportée par l'intéressée dans son recours, selon laquelle il est courant que des gens sont momentanément libérés pour des raisons médicales, s'appuyant sur un document du Home Office anglais, n'est en rien convaincante, ne serait-ce que parce que ce document fait état de libérations provisoires, en cas de maladie, du service militaire et non de suspension de détentions (cf. Home Office, Report of a Home Office Fact-Finding Mission - Eritrea : illegal exit and national service, Februar 2016, http://www.refworld.org/docid/57e2ae464.html, p. 39, consulté le 31 octobre 2018). Les réponses, lapidaires, de l'intéressée, concernant les fonctions de son père et les établissements scolaires qu'il aurait dirigés et concernant son mari, se révèlent aussi être dénuées de consistance. On relèvera notamment qu'il n'est pas crédible que la recourante ne se souvienne plus depuis quand celui-ci était astreint au service, ni même le nombre de fois qu'elle l'aurait vu pendant ses permissions. L'intéressée s'est enfin contredite. Concernant l'identité de l'homme qui se serait porté garant lors de sa libération, elle a indiqué lors de sa première audition qu'il s'appelait « K._______ » puis, lors de sa seconde audition, « L._______ ». Interrogée sur ce point, elle a simplement affirmé que la seconde réponse était correcte, sans explications supplémentaires. L'argument développé dans le recours, selon lequel elle ne connaissait pas bien cet individu, ne saurait convaincre. Les faits présentés dans la lettre de soutien, déposée à l'appui du recours, ne correspondent pas non plus au récit de la recourante. A en croire ce document, le père de la recourante se serait évadé de son cantonnement (« he evade his garnison »), et serait recherché pour cela. Or, sur ce point, la recourante a toujours affirmé que son père avait refusé de porter les armes et n'a jamais mentionné une quelconque désertion ou évasion. Pour ce motif, en plus du risque de collusion entre l'intéressée et l'auteur du document, celui-ci doit être écarté.</w:t>
      </w:r>
    </w:p>
    <w:p>
      <w:r>
        <w:rPr>
          <w:b/>
        </w:rPr>
        <w:t>E. 3.2</w:t>
      </w:r>
    </w:p>
    <w:p>
      <w:r>
        <w:t>En conclusion, le Tribunal ne peut retenir que la recourante était dans le collimateur des autorités et était exposée à un risque de persécution au moment de son départ du pays.</w:t>
      </w:r>
    </w:p>
    <w:p>
      <w:r>
        <w:rPr>
          <w:b/>
        </w:rPr>
        <w:t>E. 4.1</w:t>
      </w:r>
    </w:p>
    <w:p>
      <w:r>
        <w:t>Il convient d'examiner encore si celle-ci, en raison de son départ illégal du pays, peut se voir reconnaître la qualité de réfugié, à l'exclusion de l'asile, pour des motifs subjectifs survenus après la fuite (cf. art. 54 LAsi).</w:t>
      </w:r>
    </w:p>
    <w:p>
      <w:r>
        <w:rPr>
          <w:b/>
        </w:rPr>
        <w:t>E. 4.2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à l'évidence défaut. En effet, la recourante, comme relevé au consid. 3, n'a pas rendu vraisemblables ses motifs d'asile, notamment avoir été incarcérée et ne pas s'être rendue à une convocation au service. Aucun autre élément au dossier ne la fait apparaître comme une personne à problèmes pour les autorités.</w:t>
      </w:r>
    </w:p>
    <w:p>
      <w:r>
        <w:rPr>
          <w:b/>
        </w:rPr>
        <w:t>E. 4.4</w:t>
      </w:r>
    </w:p>
    <w:p>
      <w:r>
        <w:t>Par ailleurs, la question, soulevée dans le recours, de savoir si un enrôlement éventuel au service national après le retour de l'intéressée en Erythrée constituerait un traitement prohibé par l'art. 3 CEDH relève de l'examen relatif à l'illicéité, respectivement à l'inexigibilité de l'exécution du renvoi (arrêt précité du Tribunal D-7898/2015 du 30 janvier 2017, consid. 5.1) et n'a donc pas à être examinée à ce stade.</w:t>
      </w:r>
    </w:p>
    <w:p>
      <w:r>
        <w:rPr>
          <w:b/>
        </w:rPr>
        <w:t>E. 4.5</w:t>
      </w:r>
    </w:p>
    <w:p>
      <w:r>
        <w:t>Dans ces conditions, le recours en tant qu'il porte sur les questions de la qualité de réfugié et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7.4</w:t>
      </w:r>
    </w:p>
    <w:p>
      <w:r>
        <w:t>Dans son arrêt E-5022/2017 du 10 juillet 2018 (publié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7.5</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7.6</w:t>
      </w:r>
    </w:p>
    <w:p>
      <w:r>
        <w:t>En conclusion, le risque d'être convoqué par l'autorité militaire et d'être tenu d'accomplir le service national n'est pas en soi de nature à rendre illicite l'exécution du renvoi en Erythrée. En l'espèce, le Tribunal constate que la recourante n'a pas rendu vraisemblable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 et jurisp. cit.).</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à supposer qu'elle y soit physiquement apte, ne peut pas être considéré en soi comme un obstacle à l'exécution du renvoi au sens de l'art. 83 al. 4 LEtr (arrêt E-5022/2017 précité, consid. 6.2).</w:t>
      </w:r>
    </w:p>
    <w:p>
      <w:r>
        <w:rPr>
          <w:b/>
        </w:rPr>
        <w:t>E. 8.3</w:t>
      </w:r>
    </w:p>
    <w:p>
      <w:r>
        <w:t>En l'espèce, il ne ressort du dossier aucun élément défavorable dont on pourrait inférer que l'exécution du renvoi impliquerait une mise en danger concrète de la recourante. A cet égard, le Tribunal relève qu'elle est jeune, en bonne santé et qu'au vu de l'invraisemblance de ses propos, rien n'indique qu'elle ne peut compter, comme avant son départ, sur un réseau familial en Erythrée, notamment son père, son mari et ses frères I._______ et J._______, lui permettant d'assurer sa subsistance.</w:t>
      </w:r>
    </w:p>
    <w:p>
      <w:r>
        <w:rPr>
          <w:b/>
        </w:rPr>
        <w:t>E. 8.4</w:t>
      </w:r>
    </w:p>
    <w:p>
      <w:r>
        <w:t>Pour ces motifs, l'exécution du renvoi doit être considérée comme raisonnablement exigible.</w:t>
      </w:r>
    </w:p>
    <w:p>
      <w:r>
        <w:rPr>
          <w:b/>
        </w:rPr>
        <w:t>E. 9</w:t>
      </w:r>
    </w:p>
    <w:p>
      <w:r>
        <w:t>Le Tribunal rappelle enfin que si un retour forcé en Erythrée n'est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Il incombe donc à la recourante d'entreprendre toute démarche nécessaire auprès de la représentation de son pays d'origine en vue de l'obtention de documents de voyage lui permettant de quitter la Suisse.</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doit être rejeté.</w:t>
      </w:r>
    </w:p>
    <w:p>
      <w:r>
        <w:rPr>
          <w:b/>
        </w:rPr>
        <w:t>E. 11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Toutefois, sa demande de dispense de paiement des frais de procédure a été admise. Il n'est, par conséquent, pas perçu de frais de procédure.</w:t>
      </w:r>
    </w:p>
    <w:p>
      <w:r>
        <w:rPr>
          <w:b/>
        </w:rPr>
        <w:t>E. 12.1</w:t>
      </w:r>
    </w:p>
    <w:p>
      <w:r>
        <w:t>Par décision incidente du 23 mars 2017, Tarig Hassan a été désigné mandataire d'office dans la présente procédure.</w:t>
      </w:r>
    </w:p>
    <w:p>
      <w:r>
        <w:rPr>
          <w:b/>
        </w:rPr>
        <w:t>E. 12.2</w:t>
      </w:r>
    </w:p>
    <w:p>
      <w:r>
        <w:t>Par conséquent, il y a lieu de lui accorder une indemnité à titre d'honoraires et de débours (cf. art. 8 à 11 FITAF, applicables par analogie conformément à l'art. 12 FITAF). En cas de représentation d'office, le tarif horaire est dans la règle de 100 à 150 francs pour les représentants n'exerçant pas la profession d'avocat (cf. art. 12 en rapport avec l'art. 10 al. 2 FITAF et décision incidente du 23 mars 2017). Sur la base de la note de frais du 21 juin 2018, retenant 5 heures de travail nécessaires, au vu du mémoire de recours - lequel se compose de vingt-cinq pages, mais dont une grande partie consiste en la retranscription d'extraits de rapports et de jurisprudences -, à un tarif horaire de 150 francs, cette indemnité est arrêtée à 1'000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