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E-150/2024 vom 18. Januar 2024</w:t>
      </w:r>
    </w:p>
    <w:p>
      <w:r>
        <w:t>Bundesverwaltungsgericht, 2024-01-18, DE</w:t>
      </w:r>
    </w:p>
    <w:p>
      <w:r>
        <w:rPr>
          <w:b/>
        </w:rPr>
        <w:t xml:space="preserve">Quelle: </w:t>
      </w:r>
      <w:r>
        <w:t>https://mcp.opencaselaw.ch/entscheid/bvger_E-150_2024</w:t>
      </w:r>
    </w:p>
    <w:p>
      <w:r>
        <w:t>FR: TAF E-150/2024 du 18 janvier 2024</w:t>
      </w:r>
    </w:p>
    <w:p>
      <w:r>
        <w:t>IT: TAF E-150/2024 del 18 gennaio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E-150/2024 Seite 5 und Art. 108 Abs. 1 AsylG i.V.m. Art. 10 aCovid-19-Verordnung Asyl [SR 142.318];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E-150/2024 Seite 6</w:t>
      </w:r>
    </w:p>
    <w:p>
      <w:r>
        <w:rPr>
          <w:b/>
        </w:rPr>
        <w:t>E. 5.1</w:t>
      </w:r>
    </w:p>
    <w:p>
      <w:r>
        <w:t>Die Vorinstanz begründete ihren ablehnenden Asylentscheid im We- sentlichen mit der fehlenden asylrechtlichen Relevanz der Vorbringen der Beschwerdeführenden sowie der Unglaubhaftigkeit eines erst in der Stel- lungnahme zum Entscheidentwurf geltend gemachten Sachverhaltsas- pekts. Die dargelegte Bedrohung (durch die Familie der Beschwerdeführerin) und die geplante Zwangsheirat würden gemeinrechtliche Übergriffe und Behel- ligungen durch private Drittpersonen aufgrund privater Interessen darstel- len, die als deliktisch zu bezeichnen seien. Sie würden vom türkischen Staat weder unterstützt noch gebilligt und könnten diesem folglich nicht zu- gerechnet werden. Übergriffe Dritter seien nur dann flüchtlingsrechtlich be- achtlich, wenn der Staat dafür die Verantwortung trage. In dessen Verant- wortungsbereich würden Handlungen fallen, die er anrege, unterstütze, bil- lige oder tatenlos hinnehme und damit den Betroffenen den erforderlichen Schutz nicht gewähre, obwohl er dazu verpflichtet und in der Lage wäre. Die Beschwerdeführenden hätten beide angegeben, freiwillig auf die ihnen durch die Polizeibehörde in Istanbul angebotenen Hilfsmassnahmen ver- zichtet zu haben. Man habe ihnen vorgeschlagen, die Beschwerdeführerin in einem Frauenhaus und den Beschwerdeführer an einem sicheren Ort unterzubringen. Sie hätten das Angebot jedoch dezidiert abgelehnt, da sie zur Ausreise entschlossen gewesen seien. Sie hätten sich in den Monaten vor der Ausreise nie wegen ihrer Probleme an die türkische Polizei ge- wandt. Der türkischen Polizei könne aufgrund der Sachlage keine Tatenlo- sigkeit vorgeworfen werden. Insgesamt sei von der Schutzwilligkeit und Schutzfähigkeit der türkischen Behörden bei gemeinrechtlichen Delikten – insbesondere auch in Istanbul, wo den Beschwerdeführenden vor der Aus- reise staatliche Hilfe angeboten worden sei – auszugehen, womit sie sich nicht auf den Schutz eines Drittstaates berufen könnten. Es sei ihnen daher zuzumuten, sich bei Problemen mit Drittpersonen an die türkische Polizei zu wenden, so wie sie es bereits kurz vor der Ausreise gemacht hätten. Auch in der Schweiz bestehe keine absolute Sicherheit vor Übergriffen durch Drittpersonen. Zudem würden sich die geltend gemachten Nachteile durch Drittpersonen aus lokal oder regional beschränkten Verfolgungs- massnahmen ableiten. Da sich die Beschwerdeführenden diesen Verfol- gungsmassnahmen durch einen Wegzug in einen anderen Teil ihres Hei- matlandes würden entziehen können, seien sie auch aus diesem Grund nicht auf den Schutz der Schweiz angewiesen.</w:t>
      </w:r>
    </w:p>
    <w:p>
      <w:r>
        <w:t>E-150/2024 Seite 7 Daran würden auch die pauschalen Einwände, dass die Familie des Be- schwerdeführers sie in Istanbul und überall in der Türkei würde aufspüren können, nichts ändern. Insbesondere könne nicht nachvollzogen werden, dass sie sich nicht in Istanbul würden aufhalten können, weil der Beschwer- deführer dort viele Verwandte habe, zumal sie nie Drohungen seitens sei- ner Familie geltend gemacht hätten. Aus seinen Aussagen sei insgesamt nicht ersichtlich, weshalb er so überzeugt sei, dass seine eigene Familie ihn auch töten wolle. Weiter sei davon auszugehen, dass sich die Situation durch die religiöse Hochzeit beruhigt habe, selbst wenn sich dadurch noch kein gutes Einver- nehmen zwischen allen Beteiligten wiedereingestellt habe. Die Schilderun- gen der Beschwerdeführenden würden auch nicht dafür sprechen, dass ihre Familien noch ein Interesse an einer Verfolgung hätten, da sie weder nach ihrem Aufenthaltsort gefragt noch im Nachhinein weiter kontaktiert und bedroht worden seien. Die ehemaligen Probleme mit ihren Familien würden somit – zumindest in der geschilderten Form – nicht mehr andau- ern. Damit würden keine hinreichenden Hinweise auf eine begründete Furcht vor zukünftiger Verfolgung bestehen. Schliesslich seien gewisse Aussagen zu hinterfragen, insbesondere, dass die Polizeibeamten in Istanbul den Beschwerdeführenden gesagt hätten, dass sie nichts gegen ihre Familien würden ausrichten können, da diese bekannte Grosssippen seien. Warum einem zufällig zuständigen Polizei- beamten der Flughafenpolizei oder eines lokalen Polizeipostens die Sip- pen in C._______ bekannt sein sollten, sei nicht ersichtlich. Auch würden diese Angaben den Schilderungen der Beschwerdeführenden widerspre- chen, wonach die Polizisten in Istanbul die Anzeige gegen ihre Familien trotzdem entgegengenommen hätten und der Beschwerdeführer diese An- zeige gestellt habe, um die Situation zwischen den beiden Familien unter Kontrolle zu halten. Die Angabe aus der Stellungnahme, dass sich die Beschwerdeführenden bereits einen Monat vor der Ausreise für Schutz an die türkische Polizei gewandt hätten und diese nur eine unzureichende Schutzmassnahme vor- geschlagen habe, widerspreche den Angaben aus der Anhörung, wonach sich die Beschwerdeführenden vor der Ausreise nie selbständig wegen ih- rer Probleme mit dem Vater der Beschwerdeführerin (insbesondere wegen dessen Todesdrohungen) an die Polizei gewandt hätten.</w:t>
      </w:r>
    </w:p>
    <w:p>
      <w:r>
        <w:t>E-150/2024 Seite 8 Unter dem Umstand, dass es zwar bisher vor allem zu verbalen Todesdro- hungen, aber noch zu keinen intensiven körperlichen Übergriffen gekom- men sei und auch keine objektiven Hinweise bestehen würden, dass ihre Familienangehörigen die Drohungen in die Realität umsetzen würden, seien die Einschätzung der türkischen Polizei und die angebotenen Mass- nahmen als verhältnismässig zu bezeichnen. Dass es sich bei beiden Fa- milien um Grossfamilien mit landesweitem Einfluss handle und die Be- schwerdeführenden deshalb an keinem einzigen Ort in der Türkei sicher seien, sei als unbelegte Parteiaussage zu taxieren. Somit seien keine Tat- sachen oder Beweismittel vorgelegt worden, welche eine Änderung des Standpunktes des SEM rechtfertigen könnten.</w:t>
      </w:r>
    </w:p>
    <w:p>
      <w:r>
        <w:rPr>
          <w:b/>
        </w:rPr>
        <w:t>E. 5.2</w:t>
      </w:r>
    </w:p>
    <w:p>
      <w:r>
        <w:t>Die Beschwerdeführenden entgegnen in ihrem Rechtsmittel im We- sentlichen, dass die Mitteilung der Polizei in Istanbul, wonach sie ihnen (den Beschwerdeführenden) keinen ausreichenden Schutz garantieren könne, keine leeren Worte gewesen seien. Die Macht der Clans in der Tür- kei sei bekannt und die Polizei dagegen weitgehend machtlos sowie in zahlreichen Fällen unfähig, einzelnen bedrohten Personen einen ausrei- chenden Schutz zu bieten. Deshalb sei es auch nicht nötig gewesen, dass die Polizeibeamten in Istanbul ihre Clans hätten kennen müssen. Dass ihre Familien landesweit alle Möglichkeiten in der Türkei ausschöpfen könnten, bestätige sich darin, dass die Beschwerdeführenden bereits bei ihrer Lan- dung in Istanbul am Lautsprecher ausgerufen und polizeilich befragt wor- den seien. Da viele ihrer Verwandten auch im Westen der Türkei leben würden, sei es für ihre Familien ein Leichtes, sie ausfindig zu machen und ihre Drohungen in die Tat umzusetzen. Daher würden sie ernsthaft um ihr Leben und ihre Gesundheit fürchten müssen und nicht auf einen ausrei- chenden staatlichen Schutz vertrauen können. Die religiöse Trauung sei nur zur Wahrung der Familienehre vollzogen wor- den und nicht zu ihrem Schutz. Sie beide seien [Glaubensbekundung]. Dies zeige, dass ihr persönlicher Glaube der Familie nichts bedeute, son- dern allein die Familientradition das Mass aller Dinge sei.</w:t>
      </w:r>
    </w:p>
    <w:p>
      <w:r>
        <w:rPr>
          <w:b/>
        </w:rPr>
        <w:t>E. 6.1</w:t>
      </w:r>
    </w:p>
    <w:p>
      <w:r>
        <w:t>Das Bundesverwaltungsgericht kommt nach Prüfung der Akten zum Schluss, dass die Vorinstanz zu Recht die flüchtlingsrechtliche Relevanz der Vorbringen der Beschwerdeführenden verneint hat. Die Ausführungen in der Beschwerde vermögen der vorinstanzlichen Einschätzung in der an- gefochtenen Verfügung nichts Stichhaltiges entgegenzusetzen. Um</w:t>
      </w:r>
    </w:p>
    <w:p>
      <w:r>
        <w:t>E-150/2024 Seite 9 Wiederholungen zu vermeiden, kann vorab auf die Erwägungen des SEM verwiesen werden. Als wesentlich wird Folgendes erachtet:</w:t>
      </w:r>
    </w:p>
    <w:p>
      <w:r>
        <w:rPr>
          <w:b/>
        </w:rPr>
        <w:t>E. 6.2</w:t>
      </w:r>
    </w:p>
    <w:p>
      <w:r>
        <w:t>Die von den Beschwerdeführenden geschilderten Drohungen, insbe- sondere durch die Familie der Beschwerdeführerin, sind flüchtlingsrecht- lich gesehen auf Drittpersonen zurückzuführen. Wie nachfolgend darzule- gen sein wird, ist die Vorinstanz in der angefochtenen Verfügung zu Recht zum Schluss gelangt, dass den Beschwerdeführenden die Inanspruch- nahme staatlichen Schutzes in der Türkei möglich war.</w:t>
      </w:r>
    </w:p>
    <w:p>
      <w:r>
        <w:rPr>
          <w:b/>
        </w:rPr>
        <w:t>E. 6.2.1</w:t>
      </w:r>
    </w:p>
    <w:p>
      <w:r>
        <w:t>Aufgrund der Subsidiarität des flüchtlingsrechtlichen Schutzes setzt die Anerkennung der Flüchtlingseigenschaft voraus, dass die betroffene Person in ihrem Heimat- oder Herkunftsstaat keinen ausreichenden Schutz vor nichtstaatlicher Verfolgung finden kann. Im Sinne der sogenannten Schutztheorie ist eine nicht-staatliche Verfolgung asylrechtlich nur dann re- levant, wenn der Staat unfähig oder nicht willens ist, Schutz vor besagter Verfolgung zu bieten, beziehungsweise trotz allgemeiner Schutzfähigkeit und allgemeinen Schutzwillens die Betroffenen aus einem asylrechtlichen Motiv im Konkreten nicht geschützt werden. Es ist dabei keine faktische Garantie für langfristigen individuellen Schutz der von nicht-staatlicher Ver- folgung bedrohten Personen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wie an ein Rechts- und Jus- tizsystem zu denken ist, welches eine effektive Strafverfolgung ermöglicht. Ob das bestehende Schutzsystem als in diesem Sinn effizient erachtet werden kann, hängt letztlich auch davon ab, dass der Schutz die von Ver- folgung betroffene Person tatsächlich erreicht (vgl. BVGE 2011/51 E. 7.3 m.w.H.). Die Inanspruchnahme dieses Schutzsystems muss der betroffe- nen Person demnach objektiv zugänglich und individuell zumutbar sein, was jeweils im Rahmen einer Einzelfallprüfung unter Berücksichtigung des länderspezifischen Kontexts zu beurteilen ist. Das Bundesverwaltungsgericht geht von der grundsätzlichen Schutzfähig- keit und Schutzwilligkeit der türkischen Strafverfolgungs- und Justizbehör- den aus (vgl. statt vieler Urteile des BVGer E-4548/2020 vom 23. Oktober 2023 E. 5.1 m.w.H. sowie bezüglich des Vorbringens einer drohenden Zwangsheirat insbesondere das Referenzurteil des BVGer E-1948/2018</w:t>
      </w:r>
    </w:p>
    <w:p>
      <w:r>
        <w:t>E-150/2024 Seite 10 vom 12. Juni 2018 E. 5.2 ff. m.w.H., bestätigt u.a. in Urteil E-3320/2020 vom 22. November 2023 E. 6.2.1 m.w.H.).</w:t>
      </w:r>
    </w:p>
    <w:p>
      <w:r>
        <w:rPr>
          <w:b/>
        </w:rPr>
        <w:t>E. 6.2.2</w:t>
      </w:r>
    </w:p>
    <w:p>
      <w:r>
        <w:t>Entgegen der Ausführungen der Beschwerdeführenden während ih- res erstinstanzlichen Asylverfahrens und auf Beschwerdeebene, manifes- tiert sich in ihrem konkreten Fall weder ein Unwille noch die Unfähigkeit der türkischen Behörden, ihnen Schutz vor privater Verfolgung zu gewähren. In diesem Zusammenhang erscheint es zentral, dass die Behörden auf die Vorfälle umgehend und angemessen reagiert haben. Nach der Befragung am Flughafen Istanbul schlug die Polizei den Beschwerdeführenden ver- schiedene mögliche Schutzmassnahmen vor, mit welchen die Beschwer- deführenden aber nicht einverstanden waren (vgl. SEM-Akten A26 F62, S. 10, und F67 ff. sowie A27 F58, S. 8, F66 ff. und F87). Ihr Einwand, die türkischen Behörden hätten ihnen keine Garantie auf absoluten Schutz ge- ben können, ist gemäss der zuvor zitierten Rechtsprechung nicht stichhal- tig und ungeeignet, die Annahme des vorhandenen behördlichen Schutz- willens und der bestehenden behördlichen Schutzfähigkeit zu widerlegen. Sollten ihre Angehörigen sie nach einer Rückkehr erneut bedrohen, wäre es ihnen zuzumuten, sich bei den zuständigen Behörden zu melden und die Hilfe staatlicher Schutzeinrichtungen und rechtlicher Anlaufstellen in Anspruch zu nehmen. Bezüglich der von der Beschwerdeführerin geltend gemachten, von ihrer Familie vorbereiteten Zwangsheirat ist festzustellen, dass seitens ihrer Fa- milie keine konkreten Versuche unternommen wurden, um sie aufzuspüren und mit einem der Familie genehmen Mann zu verheiraten. Inwiefern die Anzeige gegen den Beschwerdeführer, welche zur Befragung des Paares am Flughafen in Istanbul geführt habe (vgl. SEM-Akte A27 F58, S. 8), die- sem Zweck hätte dienen sollen, ist nicht nachvollziehbar. Vielmehr hätten die Väter der Beschwerdeführenden die beiden nach ihrer Flucht religiös trauen lassen. Damit ist nicht von einer begründeten Furcht der Beschwer- deführerin vor einer aktuellen Verfolgung in Form einer bevorstehenden Zwangsheirat auszugehen.</w:t>
      </w:r>
    </w:p>
    <w:p>
      <w:r>
        <w:rPr>
          <w:b/>
        </w:rPr>
        <w:t>E. 6.3</w:t>
      </w:r>
    </w:p>
    <w:p>
      <w:r>
        <w:t>Des Weiteren ist das SEM – wie nachfolgend zu zeigen sein wird – zu Recht davon ausgegangen, dass den Beschwerdeführenden eine inner- staatliche Aufenthaltsalternative zur Verfügung gestanden hätte.</w:t>
      </w:r>
    </w:p>
    <w:p>
      <w:r>
        <w:rPr>
          <w:b/>
        </w:rPr>
        <w:t>E. 6.3.1</w:t>
      </w:r>
    </w:p>
    <w:p>
      <w:r>
        <w:t>Gemäss Praxis steht der von Verfolgung betroffenen Person eine in- nerstaatliche Fluchtalternative dann zur Verfügung, wenn sie am Zufluchts- ort nicht weiterhin oder erneut ernsthafte Nachteile aufgrund unmittelbarer</w:t>
      </w:r>
    </w:p>
    <w:p>
      <w:r>
        <w:t>E-150/2024 Seite 11 oder mittelbarer staatlicher Verfolgung aus flüchtlings-rechtlich relevanten Motiven befürchten muss, und sie dort auch nicht Gefahr läuft, anderen, weniger intensiven staatlichen Beeinträchtigungen oder Massnahmen aus- gesetzt zu sein, die darauf abzielen, sie aus flüchtlings-rechtlich relevanten Motiven in das Gebiet der ursprünglichen Verfolgung zurückzudrängen (BVGE 2011/51 E. 8.2 m.w.H.).</w:t>
      </w:r>
    </w:p>
    <w:p>
      <w:r>
        <w:rPr>
          <w:b/>
        </w:rPr>
        <w:t>E. 6.3.2</w:t>
      </w:r>
    </w:p>
    <w:p>
      <w:r>
        <w:t>Bei der geltend gemachten Gefährdung handelt es sich um ein lokal begrenztes Problem. Dass die Beschwerdeführenden aus Grossfamilien aus C._______ stammen würden, die in der ganzen Türkei vernetzt seien, weshalb sie an keinem Ort in ihrem Heimatstaat sicher seien (vgl. SEM- Akten A26 F73, A27 F71 und F88 ff. sowie A30, S. 1), ist eine unbelegte Parteiaussage, die die Beschwerdeführenden auch auf Beschwerdeebene nicht konkreter ausführten. An dieser Einschätzung vermögen weder der Verweis auf einen Medienbericht bezüglich krimineller Clans in Istanbul noch das Vorbringen des Beschwerdeführers etwas zu ändern, dass er viele Verwandte in Istanbul habe (vgl. SEM-Akte A27 F71 f.). So wäre es den Beschwerdeführenden zuzumuten gewesen, sich andernorts – bei- spielsweise in einer der zahlreichen anderen Grossstädte der Türkei – nie- derzulassen.</w:t>
      </w:r>
    </w:p>
    <w:p>
      <w:r>
        <w:rPr>
          <w:b/>
        </w:rPr>
        <w:t>E. 6.4</w:t>
      </w:r>
    </w:p>
    <w:p>
      <w:r>
        <w:t>Zusammenfassend ist daher festzuhalten, dass die Vorinstanz zu Recht die Flüchtlingseigenschaft der Beschwerdeführenden verneint und ihre Asylgesuche abgelehnt hat. Vor diesem Hintergrund war die Vorinstanz auch nicht gehalten, weiterge- hende Abklärungen zu staatlichen Schutzmöglichkeiten im Zusammen- hang mit Gewaltandrohungen durch Grossfamilien in der Türkei zu tätigen. Der mit Beschwerde gestellte Antrag um ergänzende Abklärung (vgl. Be- schwerde, S. 2) ist entsprechend abzuweisen.</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 länderrechtliche Aufenthaltsbewilligung noch über einen Anspruch auf Er- teilung einer solchen. Die Wegweisung wurde demnach ebenfalls zu Recht angeordnet (vgl. BVGE 2013/37 E. 4.4; 2009/50 E. 9, je m.w.H.).</w:t>
      </w:r>
    </w:p>
    <w:p>
      <w:r>
        <w:t>E-150/2024 Seite 12</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8.2.3</w:t>
      </w:r>
    </w:p>
    <w:p>
      <w:r>
        <w:t>Sodann ergeben sich weder aus den Aussagen der Beschwerdeführenden noch aus den Akten Anhaltspunkte dafür, dass sie für den Fall einer Ausschaffung in den Heimatstaat dort mit beachtlicher</w:t>
      </w:r>
    </w:p>
    <w:p>
      <w:r>
        <w:t>E-150/2024 Seite 13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gelingt ihnen nicht.</w:t>
      </w:r>
    </w:p>
    <w:p>
      <w:r>
        <w:rPr>
          <w:b/>
        </w:rPr>
        <w:t>E. 8.2.4</w:t>
      </w:r>
    </w:p>
    <w:p>
      <w:r>
        <w:t>Auch die allgemeine Menschenrechtssituation im Heimatstaat lässt den Wegweisungsvollzug zum heutigen Zeitpunkt nicht als unzulässig er- scheinen.</w:t>
      </w:r>
    </w:p>
    <w:p>
      <w:r>
        <w:rPr>
          <w:b/>
        </w:rPr>
        <w:t>E. 8.2.5</w:t>
      </w:r>
    </w:p>
    <w:p>
      <w:r>
        <w:t>Der Vollzug der Wegweisung erweist sich damit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vom Juli 2016 ist gemäss konstanter Praxis des Bundesverwaltungsgerichts – auch für Angehörige der kurdischen Eth- nie – nicht von einer Situation allgemeiner Gewalt oder bürgerkriegsähnli- chen Verhältnissen in der Türkei auszugehen (vgl. statt vieler Urteil des BVGer E-865/2023 vom 27. Februar 2023 E. 8.4.2).</w:t>
      </w:r>
    </w:p>
    <w:p>
      <w:r>
        <w:rPr>
          <w:b/>
        </w:rPr>
        <w:t>E. 8.3.2</w:t>
      </w:r>
    </w:p>
    <w:p>
      <w:r>
        <w:t>Zur Begründung hinsichtlich der individuellen Zumutbarkeit des Weg- weisungsvollzugs kann vollumfänglich auf die zutreffenden Argumente der Vorinstanz verwiesen werden, denen in der Beschwerde nichts entgegen- gesetzt wird.</w:t>
      </w:r>
    </w:p>
    <w:p>
      <w:r>
        <w:rPr>
          <w:b/>
        </w:rPr>
        <w:t>E. 8.3.3</w:t>
      </w:r>
    </w:p>
    <w:p>
      <w:r>
        <w:t>Nach dem Gesagten erweist sich der Vollzug der Wegweisung auch als zumutbar.</w:t>
      </w:r>
    </w:p>
    <w:p>
      <w:r>
        <w:t>E-150/2024 Seite 14</w:t>
      </w:r>
    </w:p>
    <w:p>
      <w:r>
        <w:rPr>
          <w:b/>
        </w:rPr>
        <w:t>E. 8.4</w:t>
      </w:r>
    </w:p>
    <w:p>
      <w:r>
        <w:t>Schliesslich obliegt es den Beschwerdeführenden, sich bei der zustän- digen Vertretung des Heimatstaates die für eine Rückkehr notwendigen Reisedokumente zu beschaffen (vgl. Art. 8 Abs. 4 AsylG und dazu auch BVGE 2008/34 E. 12), wobei darauf hinzuweisen ist, dass sie über nach wie vor gültige Reisepässe verfügen (vgl. Beweismittelverzeichnis BM 1- 4),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Die mit der Beschwerde gestellten Gesuche um Gewährung der unentgeltlichen Prozessführung (vgl. Art. 65 Abs. 1 VwVG) und amtlichen Verbeiständung (vgl. Art. 102m Abs. 4 AsylG) sind unbesehen der finanzi- ellen Verhältnisse der Beschwerdeführenden abzuweisen, da die Begeh- ren gemäss den vorstehenden Erwägungen als aussichtslos zu bezeich- nen waren und es daher an einer gesetzlichen Voraussetzung zu deren Gewährung fehlt.</w:t>
      </w:r>
    </w:p>
    <w:p>
      <w:r>
        <w:rPr>
          <w:b/>
        </w:rPr>
        <w:t>E. 10.2</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t>(Dispositiv nächste Seite)</w:t>
      </w:r>
    </w:p>
    <w:p>
      <w:r>
        <w:t>E-150/2024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