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E-1509/2019 vom 16. Mai 2019</w:t>
      </w:r>
    </w:p>
    <w:p>
      <w:r>
        <w:t>Bundesverwaltungsgericht, 2019-05-16, DE</w:t>
      </w:r>
    </w:p>
    <w:p>
      <w:r>
        <w:rPr>
          <w:b/>
        </w:rPr>
        <w:t xml:space="preserve">Quelle: </w:t>
      </w:r>
      <w:r>
        <w:t>https://mcp.opencaselaw.ch/entscheid/bvger_E-1509_2019</w:t>
      </w:r>
    </w:p>
    <w:p>
      <w:r>
        <w:t>FR: TAF E-1509/2019 du 16 mai 2019</w:t>
      </w:r>
    </w:p>
    <w:p>
      <w:r>
        <w:t>IT: TAF E-1509/2019 del 16 maggio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Über offensichtlich unbegründete oder begründete (Kassation) Beschwerden wird in einzelrichterlicher Zuständigkeit mit Zustimmung eines zweiten Richters beziehungsweise einer zweiten Richterin entschieden (Art. 111 Bst. e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ein Verfahren oder ein Urteil, wonach der Beschwerdeführer seinen Kindern und der Kindsmutter für deren jahrelanges familiäres Engagement Entschädigungszahlungen zu leisten habe, stelle ein rechtsstaatliches legitimes Vorgehen dar und begründe weder eine asylrelevante Verfolgung im Sinne von Art. 3 AsylG noch falle es unter eines der vom Asylgesetz definierten Verfolgungsmotive. Die Drohungen durch die Kindsmutter und deren Familie würden Übertretungen darstellen, welche bei den heimatlichen Behörden zur Anzeige gebracht werden könnten. Er habe sich nicht an die Behörden gewandt. Ein Staat könne für Vergehen, über die er nicht unterrichtet worden sei, nicht wegen unterlassener Hilfeleistung verantwortlich gemacht werden. Der Bundesrat habe Kosovo mit Beschluss vom 6. März 2009 als verfolgungssicheren Staat (Safe Country) im Sinne von Art. 6a Abs. 2 lit. a AsylG bezeichnet. Es bestehe die Regelvermutung, dass asylrelevante staatliche Verfolgung nicht stattfinde und Schutz vor staatlicher Verfolgung gewährleistet sei. Vorliegend seien keine Hinweise ersichtlich, welche geeignet wären, die Regelvermutung umzustossen. Zudem habe der Bundesrat Kosovo mit Beschluss vom 25. Oktober 2017 per 1. Januar 2018 als Staat bezeichnet, in den die Rückkehr in der Regel zumutbar sei. Vorliegend gebe es keinen Grund für eine Abweichung von dieser Regelvermutung. Dies habe auch das Bundesgericht mit Urteil vom 11. September 2017 festgestellt. Der Wegweisungsvollzug sei zumutbar, möglich und durchführbar.</w:t>
      </w:r>
    </w:p>
    <w:p>
      <w:r>
        <w:rPr>
          <w:b/>
        </w:rPr>
        <w:t>E. 5.2</w:t>
      </w:r>
    </w:p>
    <w:p>
      <w:r>
        <w:t>Der Beschwerdeführer macht geltend, die Vorinstanz lasse den gesellschaftlichen Kontext in seinem Herkunftsland unbeachtet. In seinem Fall komme das "Volksgesetz des Lekë Dukagjini", der "Kanun", zur Anwendung, weshalb er befürchte, dass er bei einer Rückkehr umgebracht werden könnte. Ihm werde vorgeworfen, das Leben der Kindsmutter zerstört zu haben. Wenn die Ehe zwischen Vater und Mutter der Kinder nie geschlossen worden sei, bedeute die uneheliche Geburt dreier Kinder von einem landesabwesenden Mann den Verlust der weiblichen Ehre und damit der Ehre ihrer Familie. Der Verlust der Ehre könne gestützt auf den Kanun nicht durch Geld, sondern nur durch Blut abgegolten werden. Ein Bericht der Länderanalyse der Schweizerischen Flüchtlingshilfe (SFH) aus dem Jahr 2016 bestätige, dass im Kosovo nach wie vor Blutrache geübt werde. Aufgrund dieser Gefährdung sei er in den letzten zwei Jahren nicht mehr in den Kosovo gereist. Das Urteil des Bundesverwaltungsgerichts E-8422/2008 vom 8. Januar 2013, wonach es bei einer lediglich privaten Familienfehde am Erfordernis des flüchtlingsrechtlich relevanten Verfolgungsmotivs fehle, müsse den internationalen Standards angepasst werden. Gestützt auf den Bericht der SFH könnten sich gefährdete Personen im Kosovo nicht auf den staatlichen Schutz verlassen und es stünden auch keine innerstaatlichen Fluchtalternativen offen. Seine Familie wohne im gleichen Ort wie die Familie der Kindsmutter, weshalb er bei einer Rückkehr zu seinen Eltern in den Kosovo dem unmittelbaren Zugriff durch die Angehörigen der Kindsmutter ausgesetzt wäre. Bei der Zumutbarkeitsprüfung lasse die Vorinstanz seine Biografie vollständig ausser Acht, insbesondere den über 15 Jahre dauernden Aufenthalt in der Schweiz. Gemäss Urteil des Bundesgerichts 2C_105/2017 vom 8. Mai 2018 bedürfe es nach einer rechtmässigen Aufenthaltsdauer von mehr als zehn Jahren in der Schweiz besonderer Gründe für eine Aufenthaltsbeendigung. Vor diesem Hintergrund erscheine der Vollzug der Wegweisung unzumutbar. Sollte das Gericht zum Schluss kommen, über ungenügende Entscheidgrundlagen zu verfügen, sei der angefochtene Entscheid subeventualiter aufzuheben und der Vorinstanz zur ergänzenden Abklärung sowie zur anschliessenden Neubeurteilung zurückzuweisen.</w:t>
      </w:r>
    </w:p>
    <w:p>
      <w:r>
        <w:rPr>
          <w:b/>
        </w:rPr>
        <w:t>E. 6.1</w:t>
      </w:r>
    </w:p>
    <w:p>
      <w:r>
        <w:t>Die Vorinstanz ist in ihren Erwägungen zur zutreffenden Erkenntnis gelangt, die Vorbringen des Beschwerdeführers seien zwar glaubhaft, jedoch würden sie den Anforderungen an die Asylrelevanz nicht genügen. Er macht von Privatpersonen ausgehende Verfolgungsmassnahmen geltend. Bei einer privaten Blutfehde handelt es sich nicht um eine asylrechtlich relevante Verfolgung, weil diese nicht aus einem in Art. 3 Abs. 1 AsylG genannten Grund erfolgt. Zudem sind Übergriffe von privaten Dritten nur dann flüchtlingsrechtlich relevant, wenn es der betroffenen Person nicht möglich ist, im Heimatland Schutz davor zu finden. Der Schutz ist dann als ausreichend zu qualifizieren, wenn eine Person effektiv Zugang zu einer funktionierenden staatlichen Infrastruktur hat und ihr deren Inanspruchnahme zumutbar ist, wobei von einem Staat nicht erwartet werden kann, dass er jederzeit präventiv in die Lebensbereiche seiner Bürger eingreifen kann. Ist kein ausreichender Schutz möglich, setzt die Anerkennung der Flüchtlingseigenschaft zudem voraus, dass die betroffene Person einer landesweiten Verfolgung ausgesetzt ist und nicht in einem anderen Teil ihres Heimatstaates Schutz finden kann (vgl. BVGE 2008/12 E. 7.2.6.1, 2008/4 E. 5.2).</w:t>
      </w:r>
    </w:p>
    <w:p>
      <w:r>
        <w:rPr>
          <w:b/>
        </w:rPr>
        <w:t>E. 6.2</w:t>
      </w:r>
    </w:p>
    <w:p>
      <w:r>
        <w:t>Der Bundesrat hat Kosovo mit Beschluss vom 6. März 2009 als verfolgungssicheren Staat (Safe Country) eingestuft. Die Bezeichnung eines Landes als Safe Country beinhaltet die Regelvermutung, dass eine asylrelevante staatliche Verfolgung nicht stattfindet und der Schutz vor nichtstaatlicher Verfolgung gewährleistet ist. Hierbei handelt es sich jedoch um eine relative Verfolgungssicherheit, die im Einzelfall auf Grund konkreter und substantiierter Hinweise widerlegt werden kann. Gemäss Rechtsprechung des Bundesverwaltungsgerichts gehen die zuständigen Behörden in Kosovo im Rahmen ihrer Möglichkeiten konsequent gegen Bedrohungen und Übergriffe durch Privatpersonen vor. Insofern ist vom Schutzwillen und von der weitgehenden Schutzfähigkeit der Sicherheitsbehörden auszugehen (Urteile des BVGer D-2562/2013 vom 16. Mai 2013 E. 4.1 f. mit Hinweis auf BVGE 2011/50 E. 4.7; E-6802/2014 vom 5. Dezember 2014 E. 7 und D-1609/2016 vom 27. Dezember 2016 E. 5). Wie bereits in der angefochtenen Verfügung ausgeführt wurde, wäre es dem Beschwerdeführer bei Nachstellungen seitens der Familie der Kindsmutter unbenommen gewesen, den Schutz der kosovarischen Behörden in Anspruch zu nehmen, zumal davon ausgegangen werden kann, dass sich diese auch in seinem Fall ihren Möglichkeiten entsprechend für seinen Schutz eingesetzt hätten. Es gibt keinen Grund anzunehmen, sie könnten dies nicht auch künftig, nach seiner Rückkehr in den Heimatstaat, tun. Zudem erklärte der Beschwerdeführer in der Anhörung, er vermute, den Konflikt durch schrittweise Zahlungen an die Kindsmutter bereinigen zu können (act. B22/14 F85 f.).</w:t>
      </w:r>
    </w:p>
    <w:p>
      <w:r>
        <w:rPr>
          <w:b/>
        </w:rPr>
        <w:t>E. 6.3</w:t>
      </w:r>
    </w:p>
    <w:p>
      <w:r>
        <w:t>Angesichts dieser Sachlage ergibt sich, dass die Vorbringen des Beschwerdeführers nicht asylrelevant sind. Es bestehen des weiteren keine konkreten und substanziierten Hinweise, welche die Regelvermutung, Kosovo gewähre Schutz vor nichtstaatlicher Verfolgung, in seinem Fall zu widerlegen vermögen. Die Vorinstanz hat die Flüchtlingseigenschaft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Durch die Heirat des Beschwerdeführers mit einer albanischen Staatsangehörigen vom 15. April 2019 in der Schweiz stellen sich neue Fragen im Zusammenhang mit Art. 44 AsylG in Verbindung mit Art. 8 EMRK.</w:t>
      </w:r>
    </w:p>
    <w:p>
      <w:r>
        <w:rPr>
          <w:b/>
        </w:rPr>
        <w:t>E. 7.3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7.4</w:t>
      </w:r>
    </w:p>
    <w:p>
      <w:r>
        <w:t>Gemäss beigelegter Kopie in den Vorakten verfügt die Ehefrau des Beschwerdeführers über die Aufenthaltsbewilligung B (act. B27/84). Die Vor-instanz konnte die Wegweisung und den Wegweisungsvollzug vor diesem neuen Hintergrund noch nicht prüfen. Es ist Sache der Vorinstanz, Fragen bezüglich allfälliger Ansprüche des Beschwerdeführers aus Art. 44 AsylG in Verbindung mit Art. 8 EMRK, etwaigen alternativen Aufenthaltsmöglichkeiten unter Wahrung der Einheit der Familie sowie allfälliger ausländerrechtlicher Zuständigkeiten erstmalig zu prüfen, beziehungsweise den diesbezüglichen Sachverhalt zu erstellen.</w:t>
      </w:r>
    </w:p>
    <w:p>
      <w:r>
        <w:rPr>
          <w:b/>
        </w:rPr>
        <w:t>E. 8</w:t>
      </w:r>
    </w:p>
    <w:p>
      <w:r>
        <w:t>Aus diesen Erwägungen ergibt sich, dass die Beschwerde betreffend die Ablehnung des Asyls und die Flüchtlingseigenschaft sowie betreffend die Anordnung der Wegweisung abzuweisen ist. Betreffend den Vollzug der Wegweisung ist die Beschwerde gutzuheissen. Die Dispositivziffern 4 und 5 der angefochtenen Verfügung vom 20. März 2019 sind aufzuheben und zur Neubeurteilung an die Vorinstanz zurückzuweisen.</w:t>
      </w:r>
    </w:p>
    <w:p>
      <w:r>
        <w:rPr>
          <w:b/>
        </w:rPr>
        <w:t>E. 9.1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Hauptantrags auf Feststellung der Flüchtlingseigenschaft und Gewährung des Asyls unterlegen. Bezüglich des Antrages auf Anordnung der vorläufigen Aufnahme hat er insofern obsiegt, als er mit diesem Urteil infolge neuer Tatsachen die Aufhebung der vorinstanzlichen Verfügung erwirkt hat. Praxisgemäss bedeutet dies ein hälftiges Obsiegen.</w:t>
      </w:r>
    </w:p>
    <w:p>
      <w:r>
        <w:rPr>
          <w:b/>
        </w:rPr>
        <w:t>E. 9.2</w:t>
      </w:r>
    </w:p>
    <w:p>
      <w:r>
        <w:t>Die Verfahrenskosten sind entsprechend zur Hälfte anzusetzen. Somit ergeben sich Kosten von Fr. 375.-, die dem Beschwerdeführer aufzuerlegen sind (Art. 63 Abs. 1 VwVG; Art. 1-3 des Reglements vom 21. Februar 2008 über die Kosten und Entschädigungen vor dem Bundesverwaltungsgericht [VGKE, SR 173.320.2]).</w:t>
      </w:r>
    </w:p>
    <w:p>
      <w:r>
        <w:rPr>
          <w:b/>
        </w:rPr>
        <w:t>E. 9.3</w:t>
      </w:r>
    </w:p>
    <w:p>
      <w:r>
        <w:t>Dem Beschwerdeführer ist in Anwendung von Art. 64 Abs. 1 VwVG eine Parteientschädigung für die ihm erwachsenen notwendigen Vertretungskosten zuzusprechen (Art. 7 des Reglements vom 21. Februar 2008 über die Kosten und Entschädigungen vor dem Bundesverwaltungsgericht [VGKE, SR 173.320.2]).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350.-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