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E-1508/2025 vom 16. März 2026</w:t>
      </w:r>
    </w:p>
    <w:p>
      <w:r>
        <w:t>Bundesverwaltungsgericht, 2026-03-16, DE</w:t>
      </w:r>
    </w:p>
    <w:p>
      <w:r>
        <w:rPr>
          <w:b/>
        </w:rPr>
        <w:t xml:space="preserve">Quelle: </w:t>
      </w:r>
      <w:r>
        <w:t>https://mcp.opencaselaw.ch/entscheid/bvger_E-1508_2025</w:t>
      </w:r>
    </w:p>
    <w:p>
      <w:r>
        <w:t>FR: TAF E-1508/2025 du 16 mars 2026</w:t>
      </w:r>
    </w:p>
    <w:p>
      <w:r>
        <w:t>IT: TAF E-1508/2025 del 16 marzo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betreffend, nach Art. 106 Abs. 1 AsylG (i.V.m. Art. 72 AsylG).</w:t>
      </w:r>
    </w:p>
    <w:p>
      <w:r>
        <w:rPr>
          <w:b/>
        </w:rPr>
        <w:t>E. 3</w:t>
      </w:r>
    </w:p>
    <w:p>
      <w:r>
        <w:t>Über offensichtlich unbegründete Beschwerden wird in einzelrichterlicher Zuständigkeit mit Zustimmung eines zweiten Richters beziehungsweise einer zweiten Richterin entschieden (Art. 72 i.V.m. Art. 111 Bst. e AsylG). Wie nachstehend aufgezeigt wird, handelt es sich vorliegend um ein Rechtsmittel, das durch einen kürzlichen Koordinationsentscheid des Bundesverwaltungsgerichts (Urteil D-4601/2025 vom 9. Februar 2026, zur Publikation als Grundsatzurteil vorgesehen) offensichtlich unbegründet geworden ist. Das Urteil ist daher nur summarisch zu begründen (Art. 72 i.V.m. Art. 111a Abs. 2 AsylG).</w:t>
      </w:r>
    </w:p>
    <w:p>
      <w:r>
        <w:rPr>
          <w:b/>
        </w:rPr>
        <w:t>E. 4</w:t>
      </w:r>
    </w:p>
    <w:p>
      <w:r>
        <w:t>4.1.1 Das SEM begründete die angefochtene Verfügung im Hauptpunkt damit, dass die Beschwerdeführenden 2 und 3 in Rumänien über einen Schutzstatus verfügt hätten und in diesem Drittstaat bereits wirksam vor der Kriegssituation in der Ukraine geschützt gewesen seien. Deshalb seien sie nicht auf eine zusätzliche Schutzgewährung durch die Schweiz angewiesen. An dieser Tatsache ändere auch eine allfällige Beendigung des be-treffenden Schutztitels aufgrund einer Ausreise aus dem Drittstaat nichts, zumal die Beschwerdeführenden 2 und 3 diesen offenbar freiwillig verlassen hätten. Gemäss Akten spreche nichts gegen die Annahme, dass es ihnen möglich und zuzumuten sei, erneut in Rumänien um vorübergehenden Schutz nachzusuchen. Auch dem Beschwerdeführer 1, welcher bis anhin über keinen Schutztitel in Rumänien verfügt habe, sei es möglich, in Rumänien ein entsprechendes Gesuch zu stellen, beziehungsweise könne er als Ehemann in den (erneut gewährten) Schutzstatus der Beschwerdeführerin 2 eingeschlossen werden.</w:t>
      </w:r>
    </w:p>
    <w:p>
      <w:r>
        <w:rPr>
          <w:b/>
        </w:rPr>
        <w:t>E. 4.2</w:t>
      </w:r>
    </w:p>
    <w:p>
      <w:r>
        <w:t>Die Beschwerdeführenden liessen dem in ihrem Rechtsmittel im Wesentlichen entgegenhalten, die Vorinstanz habe die ihr obliegende Begründungspflicht verletzt, da sie sich nicht damit auseinandergesetzt habe, ob in der vorliegenden Fallkonstellation eine bestehende Schutzalternative in Rumänien effektiv vorhanden sei. Dies hätte insbesondere mit den zuständigen Migrationsbehörden Rumäniens abgeklärt werden müssen. Dieses Vorgehen entspräche auch der bewährten Praxis bei Verfahren betreffend Asylsuchenden mit Herkunft aus einem sicheren Drittstaat, gemäss welcher unter anderem eine Rückübernahmezusicherung des Drittstaats verlangt werde.</w:t>
      </w:r>
    </w:p>
    <w:p>
      <w:r>
        <w:rPr>
          <w:b/>
        </w:rPr>
        <w:t>E. 5.1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5.2.1</w:t>
      </w:r>
    </w:p>
    <w:p>
      <w:r>
        <w:t>Am 11. März 2022 hat der Bundesrat gestützt auf Art. 66 Abs. 1 AsylG eine Allgemeinverfügung zur Gewährung des vorübergehenden Schutzes im Zusammenhang mit der Situation in der Ukraine erlassen (BBI 2022 586). Diese wurde zwischenzeitlich zwar durch eine neue Allgemeinverfügung vom 8. Oktober 2025 (BBl 2025 3074; in Kraft seit 1. November 2025) aufgehoben respektive abgelöst; aufgrund der Übergangsbestimmungen bleibt für das vorliegende Verfahren indessen weiterhin die Allgemeinverfügung vom 11. März 2022 anwendbar.</w:t>
      </w:r>
    </w:p>
    <w:p>
      <w:r>
        <w:rPr>
          <w:b/>
        </w:rPr>
        <w:t>E. 5.2.2</w:t>
      </w:r>
    </w:p>
    <w:p>
      <w:r>
        <w:t>In diesem Erlass wurde unter anderem die folgende schutzberechtigte Personengruppe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11. März 2022).</w:t>
      </w:r>
    </w:p>
    <w:p>
      <w:r>
        <w:rPr>
          <w:b/>
        </w:rPr>
        <w:t>E. 5.3.1</w:t>
      </w:r>
    </w:p>
    <w:p>
      <w:r>
        <w:t>Das Bundesverwaltungsgericht hat bereits in seinem Grundsatzurteil BVGE 2022 VI/1 festgestellt, dass eine Person ukrainischer Staatsangehörigkeit, welche vor dem 24. Februar 2022 in der Ukraine wohnhaft gewesen sei, grundsätzlich nicht auf den Schutz der Schweiz angewiesen sei, wenn für sie eine valable Schutzalternative ausserhalb der Ukraine bejaht werden könne (Subsidiaritätsprinzip).</w:t>
      </w:r>
    </w:p>
    <w:p>
      <w:r>
        <w:rPr>
          <w:b/>
        </w:rPr>
        <w:t>E. 5.3.2</w:t>
      </w:r>
    </w:p>
    <w:p>
      <w:r>
        <w:t>Die Voraussetzungen für die Annahme einer derartigen Schutz-alternative in einem Drittstaat - beziehungsweise in einem Mitgliedsstaat der Europäischen Union (EU) respektive der Europäischen Freihandels-assoziation (EFTA) - wurden sodann im Grundsatzurteil D-4601/2025 vom 9. Februar 2026 wie folgt präzisiert: Die gesuchstellende Person muss zwischen dem 24. Februar 2022 und der Einreise in die Schweiz im Drittstaat einen dem schweizerischen "Schutzstatus S" gleichzusetzenden Aufenthaltstitel (zur Gewährung vorübergehenden Schutzes) erhalten haben. Es muss hinreichende Gewissheit bestehen, dass ihr bei einer Rückkehr dorthin erneut wirksamer Schutz gewährt wird, und es muss überdies davon ausgegangen werden können, dass sie ohne Weiteres wieder in diesen Drittstaat einreisen kann. Sind diese Voraussetzungen erfüllt, ist, auch wenn keine Rückübernahmezusicherung des betreffenden Drittstaates vorliegt, das Vorliegen einer valablen Schutzalternative zu bejahen (vgl. a.a.O. E. 6.2.1 sowie 6.3).</w:t>
      </w:r>
    </w:p>
    <w:p>
      <w:r>
        <w:rPr>
          <w:b/>
        </w:rPr>
        <w:t>E. 6.1</w:t>
      </w:r>
    </w:p>
    <w:p>
      <w:r>
        <w:t>Die Beschwerdeführenden sind im vorliegenden Verfahren durch einen mit Asyl- und Schutzverfahren vertrauten Rechtsbeistand vertreten. Sie haben ihr Rechtsmittel - mit ihren unmissverständlich formulierten Rechtsbegehren und der entsprechenden Beschwerdebegründung - auf die Frage beschränkt, ob die angefochtene Verfügung aus formellen Gründen aufzuheben und die Sache für eine erneute Durchführung des erstinstanzlichen Verfahrens an die Vorinstanz zurückzuweisen sei. Sinngemäss rügen sie eine unvollständige Sachverhaltsabklärung sowie eine Verletzung der vor-instanzlichen Begründungspflicht (und insoweit ihres rechtlichen Gehörs).</w:t>
      </w:r>
    </w:p>
    <w:p>
      <w:r>
        <w:rPr>
          <w:b/>
        </w:rPr>
        <w:t>E. 6.2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darüber Beweis zu führen hat (vgl. BVGE 2015/10 E. 3.2 m.w.H.; Krauskopf / Wysseling, Art. 12 N 15 ff., in: Waldmann / Krauskopf [Hrsg.], Praxiskommentar Verwaltungsverfahrensgesetz, 3. Aufl. 2023). Der Grundsatz des rechtlichen Gehörs (Art. 29 Abs. 2 BV, Art. 29 VwVG, Art. 32 Abs. 1 VwVG) verlangt, dass die Behörde die Vorbringen des Betroffenen tatsächlich hört, sorgfältig und ernsthaft prüft und in der Entscheidungsfindung berücksichtigt, was sich entsprechend in der Entscheidbegründung niederschlagen muss (vgl. Art. 35 Abs. 1 VwVG).</w:t>
      </w:r>
    </w:p>
    <w:p>
      <w:r>
        <w:rPr>
          <w:b/>
        </w:rPr>
        <w:t>E. 6.3</w:t>
      </w:r>
    </w:p>
    <w:p>
      <w:r>
        <w:t>Der zentrale Teil der Beschwerdebegründung betrifft eine kürzlich durch das Bundesverwaltungsgericht geklärte Frage: Im Grundsatzurteil vom 9. Februar 2026 hat das Gericht festgestellt, dass - sofern die drei oben erwähnten materiellen Voraussetzungen gegeben sind (vgl. oben bei E. 5.3.2) - das Vorliegen einer valablen Schutzalternative zu bejahen ist, auch wenn keine Rückübernahmezusicherung des betreffenden Drittstaates eingeholt worden ist (vgl. Urteil D-4601/2025 a.a.O. E. 6.3). Die entsprechenden Rügen der Beschwerdeführenden erweisen sich damit als unbegründet.</w:t>
      </w:r>
    </w:p>
    <w:p>
      <w:r>
        <w:rPr>
          <w:b/>
        </w:rPr>
        <w:t>E. 6.4</w:t>
      </w:r>
    </w:p>
    <w:p>
      <w:r>
        <w:t>Nach Durchsicht der Akten ist festzustellen, dass das SEM den rechtserheblichen Sachverhalt korrekt und vollständig abgeklärt hat. Nach dem soeben Gesagten ist namentlich nicht ersichtlich, in welcher Hinsicht weitere Abklärungen hätten vorgenommen werden müssen.</w:t>
      </w:r>
    </w:p>
    <w:p>
      <w:r>
        <w:rPr>
          <w:b/>
        </w:rPr>
        <w:t>E. 6.5.1</w:t>
      </w:r>
    </w:p>
    <w:p>
      <w:r>
        <w:t>Das SEM hat sich mit den wesentlichen Vorbringen der Beschwerdeführenden auseinandergesetzt und in der angefochtenen Verfügung in hinreichender Weise die Überlegungen genannt, welche zu seinem Entscheid geführt haben. Im Übrigen war es den Beschwerdeführenden offensichtlich ohne Weiteres möglich, den vorinstanzlichen Entscheid sachgerecht anzufechten (vgl. etwa BVGE 2011/37 E. 5.4.2 oder 2008/47E. 3.2, je m.w.H.).</w:t>
      </w:r>
    </w:p>
    <w:p>
      <w:r>
        <w:rPr>
          <w:b/>
        </w:rPr>
        <w:t>E. 6.5.2</w:t>
      </w:r>
    </w:p>
    <w:p>
      <w:r>
        <w:t>Die etwas knappe Begründung der angefochtenen Verfügung betreffend die Möglichkeit des Beschwerdeführers 1, mit seinen Angehörigen nach Rumänien zurückzukehren, wurden in der Vernehmlassung ergänzt; die Beschwerdeführenden hatten sodann im Rahmen ihrer Replik Gelegenheit, sich zu diesem Punkt zu äussern.</w:t>
      </w:r>
    </w:p>
    <w:p>
      <w:r>
        <w:rPr>
          <w:b/>
        </w:rPr>
        <w:t>E. 6.5.3</w:t>
      </w:r>
    </w:p>
    <w:p>
      <w:r>
        <w:t>Damit liegt im Ergebnis auch keine Verletzung der vorinstanzlichen Begründungspflicht oder des rechtlichen Gehörs der Beschwerdeführenden vor.</w:t>
      </w:r>
    </w:p>
    <w:p>
      <w:r>
        <w:rPr>
          <w:b/>
        </w:rPr>
        <w:t>E. 6.6</w:t>
      </w:r>
    </w:p>
    <w:p>
      <w:r>
        <w:t>Die verfahrensrechtlichen Rügen erweisen sich als unberechtigt. Es besteht keine Veranlassung, die angefochtene Verfügung aus formellen Gründen aufzuheben und die Sache ans SEM zurückzuweisen.</w:t>
      </w:r>
    </w:p>
    <w:p>
      <w:r>
        <w:rPr>
          <w:b/>
        </w:rPr>
        <w:t>E. 6.7</w:t>
      </w:r>
    </w:p>
    <w:p>
      <w:r>
        <w:t>Die Beschwerdeführenden haben keine materielle Überprüfung der (praxiskonform erscheinenden) Verfügung des SEM vom 31. Januar 2025 beantragt. Inhaltliche Ausführungen zur Verweigerung des Schutzstatus sowie zur Anordnung der Wegweisung und des Wegweisungsvollzugs erübrigen sich damit.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Bei diesem Ausgang des Verfahrens wären die Kosten den Beschwerdeführenden aufzuerlegen (Art. 63 Abs. 1 VwVG). Da indessen mit Instruktionsverfügung vom 7. März 2025 ihr Gesuch um Gewährung der unentgeltlichen Prozessführung gemäss Art. 65 Abs. 1 VwVG gutgeheissen wurde - weil ihre Rechtsbegehren zum (praxisgemäss massgebenden) damaligen Zeitpunkt nicht aussichtslos waren - und den Akten keine Anhaltspunkte für eine relevante Veränderung ihrer finanziellen Lage zu entnehmen sind, ist von der Auflage von Verfahrenskosten abzusehen.</w:t>
      </w:r>
    </w:p>
    <w:p>
      <w:r>
        <w:rPr>
          <w:b/>
        </w:rPr>
        <w:t>E. 8.2</w:t>
      </w:r>
    </w:p>
    <w:p>
      <w:r>
        <w:t>Mit der erwähnten Zwischenverfügung wurde auch das Gesuch um amtliche Verbeiständung gutgeheissen und der Rechtsvertreter der Be-schwerdeführenden als amtlicher Rechtsbeistand eingesetzt (Art. 102m Abs. 1 Bst. d AsylG). Diesem ist demnach durch das Gericht ein Honorar für seine notwendigen Aufwendungen im Beschwerdeverfahren auszurichten. Die mit der Beschwerdeeingabe eingereichte Kostennote ist angemessen. Unter Berücksichtigung der nachträglich eingereichten Replik ist das Honorar des amtlichen Rechtsbeistands auf Fr. 1'000.- (inkl. hochgerech-nete Auslagen) festzulegen und durch das Bundesverwaltungsgericht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