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E-1507/2022 vom 5. April 2022</w:t>
      </w:r>
    </w:p>
    <w:p>
      <w:r>
        <w:t>Bundesverwaltungsgericht, 2022-04-05, DE</w:t>
      </w:r>
    </w:p>
    <w:p>
      <w:r>
        <w:rPr>
          <w:b/>
        </w:rPr>
        <w:t xml:space="preserve">Quelle: </w:t>
      </w:r>
      <w:r>
        <w:t>https://mcp.opencaselaw.ch/entscheid/bvger_E-1507_2022</w:t>
      </w:r>
    </w:p>
    <w:p>
      <w:r>
        <w:t>FR: TAF E-1507/2022 du 5 avril 2022</w:t>
      </w:r>
    </w:p>
    <w:p>
      <w:r>
        <w:t>IT: TAF E-1507/2022 del 5 aprile 2022</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t>E-1507/2022 Seite 5</w:t>
      </w:r>
    </w:p>
    <w:p>
      <w:r>
        <w:rPr>
          <w:b/>
        </w:rPr>
        <w:t>E. 2.3</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w:t>
      </w:r>
    </w:p>
    <w:p>
      <w:r>
        <w:t>E-1507/2022 Seite 6</w:t>
      </w:r>
    </w:p>
    <w:p>
      <w:r>
        <w:rPr>
          <w:b/>
        </w:rPr>
        <w:t>E. 4.1</w:t>
      </w:r>
    </w:p>
    <w:p>
      <w:r>
        <w:t>Ein Abgleich der Fingerabdrücke der Beschwerdeführerin mit der "Eurodac"-Datenbank ergab, dass sie am 18. September 2021 in Rumä- nien um Asyl nachgesucht hatte. Die dortigen Behörden stimmten dem Übernahmeersuchen am 17. November 2021 gestützt auf Art. 18 Abs. 1 Bst. b Dublin-III-VO zu. Die grundsätzliche Zuständigkeit Rumäniens ist somit gegeben.</w:t>
      </w:r>
    </w:p>
    <w:p>
      <w:r>
        <w:rPr>
          <w:b/>
        </w:rPr>
        <w:t>E. 4.2</w:t>
      </w:r>
    </w:p>
    <w:p>
      <w:r>
        <w:t>Soweit die Beschwerdeführerin in ihrem Rechtsmittel vorbringt, das SEM hätte ihre Beziehung zu einem Landsmann, der sich seit 2015 in der Schweiz aufhalte, unter dem Aspekt von Art. 9 Dublin-III-VO prüfen müs- sen, kann Folgendes festgehalten werden:</w:t>
      </w:r>
    </w:p>
    <w:p>
      <w:r>
        <w:rPr>
          <w:b/>
        </w:rPr>
        <w:t>E. 4.3</w:t>
      </w:r>
    </w:p>
    <w:p>
      <w:r>
        <w:t>Vorliegend handelt es sich um ein Wiederaufnahmeverfahren, weshalb keine (erneute) Zuständigkeitsprüfung nach Kapitel III Dublin-III-VO statt- findet (vgl. dazu oben E. 3.2). Der von der Beschwerdeführerin angerufene Art. 9 Dublin-III-VO kann demnach nicht zur Anwendung kommen, zumal die rumänischen Behörden ihre Zuständigkeit geprüft und bejaht haben. Wie nachstehend einlässlich darzulegen sein wird, kann die Beziehung der Beschwerdeführerin zu ihrem Verlobten zudem nicht als dauerhaft und ge- festigt im Sinne der Rechtsprechung qualifiziert werden (vgl. E. 6.3.3).</w:t>
      </w:r>
    </w:p>
    <w:p>
      <w:r>
        <w:rPr>
          <w:b/>
        </w:rPr>
        <w:t>E. 4.4</w:t>
      </w:r>
    </w:p>
    <w:p>
      <w:r>
        <w:t>An diesen Feststellungen ändert auch der Einwand auf Beschwerde- ebene nichts, die Vorinstanz habe in ihrem Übernahmeersuchen an Rumä- nien diese Beziehung der Beschwerdeführerin unerwähnt gelassen. Es darf ohne Weiteres davon ausgegangen werden, dass die Beschwerde- führerin die rumänischen Behörden im Rahmen ihres dortigen Asylver- fahren über den Aufenthalt ihres Verlobten in der Schweiz informiert hat und diese ihre Zuständigkeit in Kenntnis dieses Umstands bejahten.</w:t>
      </w:r>
    </w:p>
    <w:p>
      <w:r>
        <w:rPr>
          <w:b/>
        </w:rPr>
        <w:t>E. 4.5</w:t>
      </w:r>
    </w:p>
    <w:p>
      <w:r>
        <w:t>Nachfolgend ist demnach im Licht von Art. 3 Abs. 2 Dublin-III-VO zu prüfen, ob es wesentliche Gründe für die Annahme gibt, das Asylverfahren und die Aufnahmebedingungen für Asylsuchende in Rumänien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t>E-1507/2022 Seite 7</w:t>
      </w:r>
    </w:p>
    <w:p>
      <w:r>
        <w:rPr>
          <w:b/>
        </w:rPr>
        <w:t>E. 5.1</w:t>
      </w:r>
    </w:p>
    <w:p>
      <w:r>
        <w:t>Rumänien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5.2</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F-130/2022 vom 17. Januar 2022 E. 6.2, D-4730/2021 vom 3. November 2021 E. 8.2.2, D-4143/2021 vom 29. Sep- tember 2021 E. 7.2.1, F-3952/2021 vom 16. September 2021 E. 4.2 oder E-2591/2021 vom 3. August 2021 E. 7.4.2). Für eine Änderung dieser Rechtsprechung besteht – auch unter Berücksichtigung der Einwände der Beschwerdeführerin zur Art und Weise, wie sie in Rumänien untergebracht gewesen und betreut worden sein soll (vgl. Beschwerde S. 4 f.) – keine Veranlassung. Das Bundesverwaltungsgericht anerkennt zwar, dass die Situation von (abgewiesenen) Asylsuchenden in Rumänien schwierig sein kann, jedoch gelingt es der Beschwerdeführerin mit ihren Vorbringen sowie den blossen Verweisen auf Asylstatistiken aus dem Jahre 2020 nicht, sub- stanziiert darzulegen, dass ihr in Rumänien ein faires Asylverfahren sowie die adäquate Unterstützung und Unterbringung grundsätzlich verweigert worden wären, und dass sie sich erfolglos bemüht hätte, diese gegebenen- falls auf dem Rechtsweg einzufordern.</w:t>
      </w:r>
    </w:p>
    <w:p>
      <w:r>
        <w:rPr>
          <w:b/>
        </w:rPr>
        <w:t>E. 5.3</w:t>
      </w:r>
    </w:p>
    <w:p>
      <w:r>
        <w:t>Unter diesen Umständen ist die Anwendung von Art. 3 Abs. 2 Dublin- III-VO nicht gerechtfertigt.</w:t>
      </w:r>
    </w:p>
    <w:p>
      <w:r>
        <w:t>E-1507/2022 Seite 8</w:t>
      </w:r>
    </w:p>
    <w:p>
      <w:r>
        <w:rPr>
          <w:b/>
        </w:rPr>
        <w:t>E. 6.1</w:t>
      </w:r>
    </w:p>
    <w:p>
      <w:r>
        <w:t>Weiter fordert die Beschwerdeführerin in Anwendung der Ermessens- klauseln von Art. 17 Abs. 1 Dublin-III-VO sowie Art. 29a Abs. 3 AsylV 1 ei- nen Selbsteintritt der Schweiz und macht eine Verletzung von Art. 8 EMRK geltend.</w:t>
      </w:r>
    </w:p>
    <w:p>
      <w:r>
        <w:rPr>
          <w:b/>
        </w:rPr>
        <w:t>E. 6.2</w:t>
      </w:r>
    </w:p>
    <w:p>
      <w:r>
        <w:t>Wie von der Vorinstanz mit nachvollziehbarer und ausreichender Be- gründung aufgezeigt, hat die Beschwerdeführerin kein konkretes und ernsthaftes Risiko dargetan, dass die rumänischen Behörden in ihrem Fall den völkerrechtlichen Verpflichtungen nicht nachkommen würden (vgl. Ver- fügung S. 5 f.). Ihre Ausführungen zu überfüllten, nicht geschlechterspezi- fischen Schlafräumen und mangelnder Unterstützung lassen nicht den Schluss zu, dass die sie bei einer Rückführung zu erwartenden Bedingun- gen derart schlecht sind, dass sie zu einer Verletzung von Art. 4 der EU- Grundrechtecharta beziehungsweise Art. 3 EMRK führen könnten. Bei einer allfälligen vorübergehenden Einschränkung der ihr zustehenden Auf- nahmebedingungen könnte sie sich im Übrigen an die Behörden wenden und ihre Rechte auf dem Rechtsweg einfordern (vgl. Art. 26 Aufnahmericht- linie). Sodann liegen keine Hinweise dafür vor, dass die Behandlung ihres Asylgesuchs mangelhaft vorgenommen würde. Bezüglich der geltend ge- machten Mängel im rumänischen Asylverfahren (vgl. Beschwerdebegrün- dung Ziffn. 9 und 34 ff.) kann auf das unter E. 5.2 Erwogene verwiesen werden. Den Akten sind ferner auch keine Gründe für die Annahme zu ent- nehmen, Rumänien werde in ihrem Fall den Grundsatz des Non-Refoule- ment missachten und sie zur Ausreise in ein Land zwingen, in dem sein Leib, sein Leben oder seine Freiheit aus einem Grund nach Art. 3 Abs. 1 AsylG gefährdet ist oder in dem er Gefahr laufen würde, zur Aus- reise in ein solches Land gezwungen zu werden.</w:t>
      </w:r>
    </w:p>
    <w:p>
      <w:r>
        <w:rPr>
          <w:b/>
        </w:rPr>
        <w:t>E. 6.3.1</w:t>
      </w:r>
    </w:p>
    <w:p>
      <w:r>
        <w:t>Mit Blick auf Art. 8 EMRK ist festzuhalten, dass neben rechtlich be- gründeten familiären Verhältnissen beziehungsweise gültig geschlossenen Ehen auch faktische Beziehungen in den Schutzbereich von Art. 8 EMRK fallen, sofern sie genügend nahe und echt sind und tatsächlich gelebt wer- den. Die partnerschaftliche Beziehung muss diesfalls seit Langem eheähn- 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 dung der Partner aneinander zu berücksichtigen (vgl. BGE 144 II 1 E. 6.1 und 135 I 143 E. 3.1; Urteile des BVGer F-2645/2018 vom 25. November 2019 E. 5.4.1 und E-3351/2018 vom 15. Oktober 2018 E. 5.4.1).</w:t>
      </w:r>
    </w:p>
    <w:p>
      <w:r>
        <w:t>E-1507/2022 Seite 9</w:t>
      </w:r>
    </w:p>
    <w:p>
      <w:r>
        <w:rPr>
          <w:b/>
        </w:rPr>
        <w:t>E. 6.3.2</w:t>
      </w:r>
    </w:p>
    <w:p>
      <w:r>
        <w:t>Die Beziehung der Beschwerdeführerin zu ihrem Partner kann nicht als dauerhaft und gefestigt im Sinne dieser Rechtsprechung qualifiziert werden. Es lässt sich daher auch aus Art. 8 EMRK kein Anspruch auf einen Aufenthalt der (schwangeren) Beschwerdeführerin in der Schweiz ableiten.</w:t>
      </w:r>
    </w:p>
    <w:p>
      <w:r>
        <w:rPr>
          <w:b/>
        </w:rPr>
        <w:t>E. 6.3.3</w:t>
      </w:r>
    </w:p>
    <w:p>
      <w:r>
        <w:t>Die Beschwerdeführerin ist laut eigenen Angaben seit März 2019 mit einem in der Schweiz vorläufig aufgenommenen Landsmann verlobt res- pektive religiös getraut. In der Schweiz hätten sie das religiöse Trauungs- ritual im Dezember 2021 wiederholt und ein Ehevorbereitungsverfahren eingeleitet. Unbestrittenermassen ist das Paar im Entscheidzeitpunkt nicht zivilrechtlich verheiratet beziehungsweise war es dies auch im Zeitpunkt der Antragstellung nicht. Die protokollierten Ausführungen anlässlich des Dublin-Gesprächs sowie die Angaben auf Beschwerdeebene lassen dar- über hinaus auch nicht auf das Führen einer eheähnlichen dauerhaften Beziehung der Beschwerdeführerin mit dem seit September 2015 in der Schweiz wohnhaften Mann im Sinne der vorstehend erwähnten Recht- sprechung schliessen. Ein Zusammenleben wäre dem Paar frühestens seit der Ankunft der Beschwerdeführerin in der Schweiz am 10. November 2021 möglich gewesen. In diesem Zusammenhang führte die Beschwer- deführerin aus, ihren Partner jeweils am Wochenende zu sehen (vgl. act. A17/2). Den Akten zufolge hat sich daran bisher nichts geändert. Soweit geltend gemacht wird, das Paar habe sich bereits 2014 kennengelernt und pflege seither regelmässigen telefonischen Kontakt – lässt dies offen- kundig noch nicht auf eine eheähnliche Beziehung schliessen; abgesehen davon wurden diesbezüglich keinerlei Belege eingereicht (vgl. act. A48/9).</w:t>
      </w:r>
    </w:p>
    <w:p>
      <w:r>
        <w:rPr>
          <w:b/>
        </w:rPr>
        <w:t>E. 6.3.4</w:t>
      </w:r>
    </w:p>
    <w:p>
      <w:r>
        <w:t>Nachdem das Paar gemäss Akten noch nie einen gemeinsamen Haushalt geführt hat, vermag an diesen Feststellungen auch der Umstand nichts zu ändern, dass die Beschwerdeführerin gemäss ihren Angaben von ihrem Verlobten in Erwartung ist (voraussichtlicher Geburtstermin gemäss Arztbericht vom 31. Januar 2022: 15. August 2022).</w:t>
      </w:r>
    </w:p>
    <w:p>
      <w:r>
        <w:rPr>
          <w:b/>
        </w:rPr>
        <w:t>E. 6.3.5</w:t>
      </w:r>
    </w:p>
    <w:p>
      <w:r>
        <w:t>Schliesslich ist anzumerken, dass das bereits eingeleitete Ehevorbe- reitungsverfahren die Anwesenheit der Beschwerdeführerin in der Schweiz nicht erfordert und es den Beteiligten nach einem erfolgten Eheschluss frei- stehen würde, ein Familiennachzugsgesuch zu stellen.</w:t>
      </w:r>
    </w:p>
    <w:p>
      <w:r>
        <w:rPr>
          <w:b/>
        </w:rPr>
        <w:t>E. 6.4.1</w:t>
      </w:r>
    </w:p>
    <w:p>
      <w:r>
        <w:t>Was den medizinischen Sachverhalt angeht, so kann eine zwangs- weise Rückweisung von Personen mit gesundheitlichen Problemen nur ganz ausnahmsweise einen Verstoss gegen Art. 3 EMRK darstellen. Ein</w:t>
      </w:r>
    </w:p>
    <w:p>
      <w:r>
        <w:t>E-1507/2022 Seite 10 solcher würde voraussetzen, dass eine bereits schwer kranke Person durch die Abschiebung mit dem realen Risiko konfrontiert würde, einer ernsten, raschen und unwiederbringlichen Verschlechterung ihres Ge- sundheitszustandes ausgesetzt zu werden, die zu intensivem Leiden o- der einer erheblichen Verkürzung der Lebenserwartung führen würde (vgl. Urteil des EGMR Paposhvili gegen Belgien 13. Dezember 2016, Grosse Kammer 41738/10, §§ 180–193 m.w.H.).</w:t>
      </w:r>
    </w:p>
    <w:p>
      <w:r>
        <w:rPr>
          <w:b/>
        </w:rPr>
        <w:t>E. 6.4.2</w:t>
      </w:r>
    </w:p>
    <w:p>
      <w:r>
        <w:t>Eine solche Situation liegt nicht vor. Aus den Akten geht hervor, dass die Beschwerdeführerin zuletzt über Übelkeit im Zusammenhang mit ihrer Schwangerschaft klagte und ihr Medikamente zur Behandlung einer bakteriellen Vaginalinfektion verschrieben wurden (vgl. act. A51/2). Es sind keine Anhaltspunkte ersichtlich, welche – sowohl im Zeitpunkt der vorinstanzlichen Verfügung als auch aktuell – auf die Notwendigkeit weiterer medizinischer Abklärung hingedeutet hätten respektive hindeu- ten würden. Die aktenkundigen medizinischen Probleme und Bedürf- nisse sind somit nicht von einer derartigen Schwere, dass im Falle der Überstellung nach Rumänien mit dem Risiko einer ernsten, raschen und unwiederbringlichen Verschlechterung des Gesundheitszustands der Beschwerdeführerin oder ihres ungeborenen Kindes gerechnet werden müsste. Ihre Überstellung dorthin steht Art. 3 EMRK somit offensichtlich nicht entgegen.</w:t>
      </w:r>
    </w:p>
    <w:p>
      <w:r>
        <w:rPr>
          <w:b/>
        </w:rPr>
        <w:t>E. 6.4.3</w:t>
      </w:r>
    </w:p>
    <w:p>
      <w:r>
        <w:t>Im Übrigen geht das Bundesverwaltungsgericht in ständiger Recht- sprechung davon aus, dass Rumänien über eine ausreichende medizi- nische Infrastruktur verfügt (vgl. etwa Urteile des BVGer F-130/2022 E. 7.6, D-4730/2021 E. 8.3.1 oder F-3952/2021 E. 5.3). Es liegen keine substanziierten Hinweise zur Annahme der Gefahr vor, dass das Land der Beschwerdeführerin im Falle der Überstellung eine adäquate medi- zinische Behandlung verweigern würde. Festzuhalten ist darüber hinaus, dass die schweizerischen Behörden, die mit dem Vollzug der angefoch- ten Verfügung beauftragt sind, allfällig bestehenden besonderen medizi- nischen Bedürfnissen – wie etwa der Schwangerschaft – bei der Bestim- mung der konkreten Modalitäten der Überstellung Rechnung tragen und die rumänischen Behörden vorgängig darüber informieren (vgl. Art. 31 f. Dublin-III-VO).</w:t>
      </w:r>
    </w:p>
    <w:p>
      <w:r>
        <w:t>E-1507/2022 Seite 11</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Das Gericht enthält sich deshalb in die- sem Zusammenhang weiterer Äusserungen.</w:t>
      </w:r>
    </w:p>
    <w:p>
      <w:r>
        <w:rPr>
          <w:b/>
        </w:rPr>
        <w:t>E. 8</w:t>
      </w:r>
    </w:p>
    <w:p>
      <w:r>
        <w:t>Nach dem Gesagten besteht kein Grund für eine Anwendung der Ermes- sensklauseln von Art. 17 Dublin-III-VO. Somit bleibt Rumänien der für die Behandlung des Asylgesuches der Beschwerdeführerin zuständige Mit- gliedstaat gemäss Dublin-III-VO.</w:t>
      </w:r>
    </w:p>
    <w:p>
      <w:r>
        <w:rPr>
          <w:b/>
        </w:rPr>
        <w:t>E. 9</w:t>
      </w:r>
    </w:p>
    <w:p>
      <w:r>
        <w:t>Die Vorinstanz ist angesichts der vorstehenden Erwägungen zu Recht nicht auf das Asylgesuch der Beschwerdeführerin eingetreten und hat ihre Wegweisung verfügt (vgl. Art. 31a Abs. 1 Bst. b und Art. 44 AsylG). Die Be- schwerde ist folglich abzuweisen. Nach der Kassation des ersten Nicht- eintretensentscheids wurde das erstinstanzliche Verfahren vom SEM korrekt durchgeführt. Der rechtserhebliche Sachverhalt ist erstellt (weshalb das Nachreichen der angekündigten Beweismittel nicht abgewartet werden muss). Für die eventualiter beantragte Rückweisung der Sache an die Vor- instanz besteht keine Veranlassung.</w:t>
      </w:r>
    </w:p>
    <w:p>
      <w:r>
        <w:rPr>
          <w:b/>
        </w:rPr>
        <w:t>E. 10.1</w:t>
      </w:r>
    </w:p>
    <w:p>
      <w:r>
        <w:t>Mit vorliegendem Urteil ist das Beschwerdeverfahren abgeschlossen. Die Anträge auf Erteilung der aufschiebenden Wirkung und Befreiung von der Kostenvorschusspflicht erweisen sich als gegenstandslos. Der am 1. April 2022 angeordnete Vollzugsstopp fällt dahin. Angesichts der oben- stehenden Erwägungen zu den familiären Verhältnissen der Beschwerde- führerin in der Schweiz bestand keine Veranlassung, die Verfahrensakten des Verlobten, der Schwägerin und des Schwagers der Beschwerdeführe- rin beizuziehen. Der entsprechende Antrag ist abzuweisen.</w:t>
      </w:r>
    </w:p>
    <w:p>
      <w:r>
        <w:rPr>
          <w:b/>
        </w:rPr>
        <w:t>E. 10.2</w:t>
      </w:r>
    </w:p>
    <w:p>
      <w:r>
        <w:t>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w:t>
      </w:r>
    </w:p>
    <w:p>
      <w:r>
        <w:t>E-1507/2022 Seite 12</w:t>
      </w:r>
    </w:p>
    <w:p>
      <w:r>
        <w:rPr>
          <w:b/>
        </w:rPr>
        <w:t>E. 11</w:t>
      </w:r>
    </w:p>
    <w:p>
      <w:r>
        <w:t>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E-1507/2022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