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E-1507/2018 vom 29. April 2019</w:t>
      </w:r>
    </w:p>
    <w:p>
      <w:r>
        <w:t>Bundesverwaltungsgericht, 2019-04-29, FR</w:t>
      </w:r>
    </w:p>
    <w:p>
      <w:r>
        <w:rPr>
          <w:b/>
        </w:rPr>
        <w:t xml:space="preserve">Quelle: </w:t>
      </w:r>
      <w:r>
        <w:t>https://mcp.opencaselaw.ch/entscheid/bvger_E-1507_2018</w:t>
      </w:r>
    </w:p>
    <w:p>
      <w:r>
        <w:t>FR: TAF E-1507/2018 du 29 avril 2019</w:t>
      </w:r>
    </w:p>
    <w:p>
      <w:r>
        <w:t>IT: TAF E-1507/2018 del 29 aprile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(cf. dispositions transitoires de la modification du 25 septembre 2015 de la LAsi, al. 1)</w:t>
      </w:r>
    </w:p>
    <w:p>
      <w:r>
        <w:rPr>
          <w:b/>
        </w:rPr>
        <w:t>E. 1.3</w:t>
      </w:r>
    </w:p>
    <w:p>
      <w:r>
        <w:t>Le recourant a qualité pour recourir ; présenté dans la forme et dans le délai prescrits par la loi, le recours est recevable (art. 48 et 52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n'a pas été en mesure de faire apparaître le sérieux et la pertinence de ses motifs.</w:t>
      </w:r>
    </w:p>
    <w:p>
      <w:r>
        <w:rPr>
          <w:b/>
        </w:rPr>
        <w:t>E. 3.2</w:t>
      </w:r>
    </w:p>
    <w:p>
      <w:r>
        <w:t>En effet, portant sur son cas un regard global, le Tribunal constate que l'intéressé, s'il a pu apporter un soutien épisodique aux LTTE, semble cependant n'avoir jamais été tenu par les autorités sri lankaises pour dangereux ou suspect d'opposition active. En effet, son engagement, depuis son retour à C._______ en 1996 et jusqu'à son départ en 2015, n'a jamais été de grande ampleur, puisqu'il s'est limité à fournir épisodiquement du ravitaillement aux LTTE, ainsi que l'ont fait de nombreux Tamouls ; en conséquence, aucune mesure d'une particulière rigueur n'a jamais été prise contre lui, et il n'a jamais fait l'objet d'une quelconque procédure pénale. Il ressort en effet des dires du recourant qu'il a été brièvement interpellé et retenu par les agents du CID en trois occasions (2009, mai 2015 et octobre 2015) et quelque peu malmené, avant d'être rapidement remis en liberté et tenu de signaler régulièrement sa présence ; quelques visites de la police à son domicile auraient également eu lieu en 2015. Le Tribunal ne peut donc, en l'occurrence, retenir l'existence d'une pression psychique insupportable, soit d'un ensemble de mesures systématiques entraînant une pression telle qu'elles rendent impossible, ou difficilement supportable, la poursuite de la vie ou d'une existence conforme à la dignité humaine (cf. ATAF 2010/28 consid. 3.3.1.1 et réf. cit.). En outre, il n'y a aucun motif pour que la situation de l'intéressé se soit modifiée depuis son départ et soit vue autrement par les autorités ; dans cette mesure, les visites de la police survenues depuis lors ne sont pas différentes de celles intervenues en 2015 et ne peuvent raisonnablement être l'indice de l'aggravation d'un risque hypothétique de persécution, dans tous les cas improbable.</w:t>
      </w:r>
    </w:p>
    <w:p>
      <w:r>
        <w:rPr>
          <w:b/>
        </w:rPr>
        <w:t>E. 3.3</w:t>
      </w:r>
    </w:p>
    <w:p>
      <w:r>
        <w:t>Aucune des allégations et des pièces déposées par l'intéressé n'est de nature à remettre ce constat en cause. La lettre de sa femme n'a pas été traduite ; elle ne ferait cependant, selon le recourant, que relater les visites des policiers évoquées ci-dessus. La disparition du neveu de l'épouse, survenue en 2009, semble n'entretenir aucun lien avec la situation de l'intéressé et est survenue dans des circonstances sur lesquelles celui-ci n'a fourni aucune lumière. Par ailleurs, le Tribunal n'est pas convaincu que le recourant ait quitté le Sri Lanka de manière pressante, en raison d'un risque imminent de persécution. En effet, il apparaît invraisemblable qu'il ait pu obtenir un passeport en quelques jours à peine par un intermédiaire, même contre paiement, une telle démarche requérant un délai d'attente relativement long. De même, il est illogique que se pensant suspect, il ait choisi de quitter le pays en utilisant un passeport établi à son propre nom. Il est plus probable en réalité que l'intéressé a préparé longuement son départ et l'a mené à bien sans pression particulière. Le Tribunal constate d'ailleurs que selon ses dires, il n'était menacé que dans son village (cf. procès-verbal d'audition du 12 janvier 2017, questions 153-154) ; il lui aurait donc été loisible, pour se trouver à l'abri, de s'établir en un autre point du territoire sri lankais.</w:t>
      </w:r>
    </w:p>
    <w:p>
      <w:r>
        <w:rPr>
          <w:b/>
        </w:rPr>
        <w:t>E. 3.4</w:t>
      </w:r>
    </w:p>
    <w:p>
      <w:r>
        <w:t>Dans ces conditions, et dans la mesure où le recourant est parti légalement et qu'il n'a entretenu aucune activité politique en exil pour les LTTE, il n'y a pas lieu d'admettre que son nom figure sur une "Stop List" ou une "Watch List" utilisée par les autorités sri-lankaises à l'aéroport de Colombo, sur lesquelles sont répertoriés les noms des personnes ayant une relation avec cette organisation (cf. arrêt de référence E-1866/2015 du 15 juillet 2016 consid. 8.4.3 et 8.5.2). Ainsi, en l'absence de facteurs de risque particuliers, l'appartenance du recourant à l'ethnie tamoule, sa provenance de la province du Nord, la durée de son séjour à l'étranger et d'éventuels interrogatoires en cas d'un possible renvoi forcé au Sri Lanka représentent des facteurs de risque si légers qu'ils sont insuffisants en eux-mêmes à fonder une crainte objective de sérieux préjudices au sens de l'art. 3 al. 1 et 2 LAsi (cf. arrêt de référence précité, consid. 8.5.6, consid. 8.4.6, 8.5.5 et 9.2.4).</w:t>
      </w:r>
    </w:p>
    <w:p>
      <w:r>
        <w:rPr>
          <w:b/>
        </w:rPr>
        <w:t>E. 3.5</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 de la loi fédérale sur les étrangers et l'intégration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6.5</w:t>
      </w:r>
    </w:p>
    <w:p>
      <w:r>
        <w:t>En l'occurrence, le Tribunal relève que l'intéressé, comme constaté ci-dessus, n'a pas établi la forte probabilité d'un risque de cette nature. L'exécution de son renvoi sous forme de refoulement ne transgresse dès lors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Dans son arrêt de référence E-1866/2015 du 15 juillet 2016 (cf. consid. 13.2 à 13.4), le Tribunal a procédé à une actualisation de sa jurisprudence publiée sous ATAF 2011/24. Il a confirmé que l'exécution du renvoi était en principe raisonnablement exigible dans les provinces du Nord (cf. consid. 13.3) et de l'Est du Sri Lanka (cf. consid. 13.4) à l'exception de la région du E._______ (cf. consid. 13.3 et ATAF 2011/24, consid. 13.2.2.1) ainsi que dans les autres régions du pays (cf. arrêt E-1866/2015 précité, consid. 13.1.2). Le Tribunal s'est ensuite prononcé sur la situation dans la région du E._______,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7.3</w:t>
      </w:r>
    </w:p>
    <w:p>
      <w:r>
        <w:t>En l'espèce, le recourant provient du district de D._______, où il vit depuis 1996. Aussi, malgré des conditions de vie généralement difficiles dans le nord du pays, il doit être admis que le retour de l'intéressé dans sa région d'origine est raisonnablement exigible. En outre, il ne ressort du dossier aucun élément dont on pourrait inférer que l'exécution du renvoi impliquerait une mise en danger concrète de l'intéressé. A cet égard, l'autorité de céans relève qu'il est au bénéfice d'une expérience professionnelle d'agriculteur et de maçon, possède des terres qu'il a exploitées, puis données en location (cf. procès-verbal d'audition du 12 janvier 2017, questions 60-63), et n'a pas allégué de problème de santé particulier. Au demeurant, il dispose d'un réseau familial et social dans son pays (mère et deux soeurs), sur lequel il pourra compter à son retour.</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Mal fondé, le recours doit être rejeté.</w:t>
      </w:r>
    </w:p>
    <w:p>
      <w:r>
        <w:rPr>
          <w:b/>
        </w:rPr>
        <w:t>E. 10</w:t>
      </w:r>
    </w:p>
    <w:p>
      <w:r>
        <w:t>Le Tribunal fait droit à la requête du recourant et admet la requête d'assistance judiciaire partielle, compte tenu de son incapacité à assumer les frais de la procédure (comme en atteste l'attestation d'assistance produite en procédure de recours) et de ce que les conclusions du recours,au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