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E-1499/2016 vom 25. Januar 2017</w:t>
      </w:r>
    </w:p>
    <w:p>
      <w:r>
        <w:t>Bundesverwaltungsgericht, 2017-01-25, DE</w:t>
      </w:r>
    </w:p>
    <w:p>
      <w:r>
        <w:rPr>
          <w:b/>
        </w:rPr>
        <w:t xml:space="preserve">Quelle: </w:t>
      </w:r>
      <w:r>
        <w:t>https://mcp.opencaselaw.ch/entscheid/bvger_E-1499_2016</w:t>
      </w:r>
    </w:p>
    <w:p>
      <w:r>
        <w:t>FR: TAF E-1499/2016 du 25 janvier 2017</w:t>
      </w:r>
    </w:p>
    <w:p>
      <w:r>
        <w:t>IT: TAF E-1499/2016 del 25 gennaio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Die Fragen der Anerkennung der Flüchtlingseigenschaft und der Gewährung von Asyl bilden demgegenüber nicht Gegenstand des angefochtenen Nichteintretensentscheides und damit auch nicht des vorliegenden Verfahrens, weshalb auf die entsprechenden Rechtsbegehren nicht eingetreten wird. Bezüglich der Frage der ausländerrechtlichen Wegweisung und des Wegweisungsvollzugs hat die Vorinstanz eine materielle Prüfung vorgenommen, weshalb dem Bundesverwaltungsgericht diesbezüglich volle Kognition zukommt.</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Krauskopf/Emmenegger/Babey, in: Praxiskommentar Verwaltungsverfahrensgesetz VwVG, Waldmann/Weissenberger (Hrsg.), 2. Aufl. 2016, Art. 12 VwVG N 19 ff.; Kölz/Häner/Bertschi, a.a.O., Rz. 1043 ff.).</w:t>
      </w:r>
    </w:p>
    <w:p>
      <w:r>
        <w:rPr>
          <w:b/>
        </w:rPr>
        <w:t>E. 3.2</w:t>
      </w:r>
    </w:p>
    <w:p>
      <w:r>
        <w:t>Gemäss Art. 29 Abs. 2 BV haben die Parteien eines Verfahrens ferner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Entscheidungen und Mitteilungen der Schweizerischen Asylrekurskommission [EMARK] 2006 Nr. 24 E. 5.1). Der Anspruch auf rechtliches Gehör beinhaltet unter anderem, dass die Behörden alles in den Akten festzuhalten haben, was zur Sache gehört und entscheidwesentlich sein kann. Daraus resultiert die Pflicht, dass sämtliche im Rahmen des Verfahrens vorgenommenen Erhebungen sowie erheblichen Tatsachen und Beweismittel vollständig festzuhalten respektive zu den Akten zu nehmen und aufzubewahren sind. Die Aktenführung hat geordnet, übersichtlich und vollständig zu sein und es muss ersichtlich sein, wer die Akten erstellt hat und wie sie zustande gekommen sind (vgl. BGE 130 II 473 E. 4; Kölz/Häner/Bertschi, Verwaltungsverfahren und Verwaltungsrechtspflege des Bundes, 3. Aufl., Zürich 2013, Rz. 497, m.w.H.).</w:t>
      </w:r>
    </w:p>
    <w:p>
      <w:r>
        <w:rPr>
          <w:b/>
        </w:rPr>
        <w:t>E. 4.1</w:t>
      </w:r>
    </w:p>
    <w:p>
      <w:r>
        <w:t>Die Beschwerdeführerin brachte auf Beschwerdeebene vor, sie habe sich in Griechenland prostituieren müssen, wobei sie in [dort] in die Fänge eines (...) Zuhälters geraten sei. Dieser habe sie nach ihrer Ausreise in die Schweiz sogar hierzulande suchen und nach Griechenland bringen lassen, von wo ihr schliesslich die Flucht zurück in die Schweiz gelungen sei.</w:t>
      </w:r>
    </w:p>
    <w:p>
      <w:r>
        <w:rPr>
          <w:b/>
        </w:rPr>
        <w:t>E. 4.2</w:t>
      </w:r>
    </w:p>
    <w:p>
      <w:r>
        <w:t>Im Urteil D-6806/2013 vom 18. Juli 2016 (zur Publikation bestimmt) gibt das Bundesverwaltungsgericht einen Überblick über die völkerrechtlichen Verpflichtungen, die sich für die Schweiz bei Vorliegen konkreter Anhaltspunkte für Menschenhandel - der unter anderem bei Zwangsprostitution vorliegen kann - aus der Rechtsprechung des Europäischen Gerichtshofs für Menschenrechte (EGMR) zu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Menschenhandels vom 15. Mai 2005 (sog. Europarats-Übereinkommen; SR 0.311.543) ergeben. Demnach muss das Rechtssystem der Schweiz einen effektiven Schutz der Rechte von tatsächlichen und potenziellen Menschenhandelsopfern gewährleisten, was neben strafrechtlichen Massnahmen zur Bestrafung von Menschenhändlern erfordert, dass das gesamte innerstaatliche Recht so auszugestalten ist, dass es Menschenhandel nicht fördert, sondern wirksam davor schützt. Weiter trifft die Schweiz eine prozessuale Untersuchungspflicht, was bedeutet, dass staatliche Stellen, sobald sie von einem mutmasslichen Menschenhandelssachverhalt Kenntnis erhalten, von Amtes wegen und unverzüglich wirksame Ermittlungen einzuleiten haben, ohne dass dazu eine Anzeige des Opfers erforderlich wäre. Überdies besteht angesichts der häufig grenzüberschreitenden Natur des Menschenhandels eine Pflicht zur zwischenstaatlichen Zusammenarbeit, etwa indem Beweise gesichert oder Rechtshilfegesuche gestellt respektive zügig beantwortet werden. Ferner muss die Schweiz operative Schutzmassnahmen für tatsächliche oder potenzielle Menschenhandelsopfer ergreifen, namentlich die Gewährleistung der physischen Sicherheit des Opfers auf dem jeweiligen Staatsgebiet, die Entwicklung von Strategien, Programmen und Massnahmen zu Prävention und Bekämpfung des Menschenhandels und zum Schutz der Opfer sowie die Ausbildung der Behörden in den Bereichen Prävention, Strafverfolgung und Opferschutz. Gemäss Art. 10 des Europarats-Übereinkommens hat die Schweiz des Weiteren eine ausdrückliche Identifizierungspflicht gegenüber Meschenhandelsbetroffenen. Bei konkreten Anhaltspunkten dafür, dass eine Person Opfer von Menschenhandel ist, hat die Schweiz zudem sicherzustellen, dass diese nicht aus ihrem Hoheitsgebiet entfernt wird, bis die Massnahmen zur Identifizierung der Person als Opfer einer Straftat abgeschlossen ist. Damit soll sichergestellt werden, dass Menschenhandelsbetroffene die in Kapitel III des Europarats-Übereinkommens garantierten Rechte auch tatsächlich wahrnehmen können. Personen, bei denen konkrete Anhaltspunkte für Menschenhandel vorliegen, sind überdies die minimalen Unterstützungsmassnahmen gemäss Art. 12 Abs. 1 und 2 sowie eine Erholungs- und Bedenkzeit von mindestens 30 Tagen gemäss Art. 13 des Europarats-Übereinkommens zu gewähren (vgl. Urteil des BVGer D-6806/2013 vom 18. Juli 2016 [zur Publikation bestimmt] E. 5.2.3 - 5.2.6 und E. 6.1 je m.w.H.).</w:t>
      </w:r>
    </w:p>
    <w:p>
      <w:r>
        <w:rPr>
          <w:b/>
        </w:rPr>
        <w:t>E. 4.3.1</w:t>
      </w:r>
    </w:p>
    <w:p>
      <w:r>
        <w:t>Nach Ansicht des Bundesverwaltungsgerichts lässt sich gestützt auf die aktuelle Aktenlage nicht abschliessend beurteilen, inwiefern die Vorbringen der Beschwerdeführerin glaubhaft sind. So erscheinen ihre Schilderungen sehr abenteuerlich, was aber sowohl als Argument für wie auch als Argument gegen deren Plausibilität angeführt werden kann. Zudem ist die im Verlaufsbericht der [psychiatrischen Klinik] vom 30. August 2016 gestellte Diagnose einer Posttraumatischen Belastungsstörung als Indiz für die Glaubhaftigkeit der Vorbringen der Beschwerdeführerin nicht zu ignorieren; das selbe kann für die im Verlaufsbericht vom 28. Dezember 2016 gemachte Feststellung einer Retraumatisierung festgehalten werden. Ferner ist die Ausnutzung von Flüchtlingen, insbesondere die sexuelle Ausbeutung von Frauen, in Europa im Allgemeinen und in Griechenland im Besonderen, ein bekanntes Phänomen. So sind insbesondere alleinstehende Frauen mit und ohne Kinder dem Risiko ausgesetzt, auf dem Fluchtweg, aber auch bei ihrer Ankunft an einem Ort sexuell belästigt und ausgebeutet zu werden. In Griechenland ist es für anerkannte weibliche Flüchtlinge angesichts der hohen Arbeitslosigkeit fast unmöglich, eine Arbeit ausserhalb der Prostitution zu finden. Ohne diese Erwerbstätigkeit ist es für sie aber schwierig, in Griechenland zu überleben, da gerade anerkannte Flüchtlinge nur in sehr knappem Umfang, wenn überhaupt, von der Sozialhilfe unterstützt werden (vgl. Amnesty International, Female refugees face physical assault, exploitation and sexual harassment on their journey through Europe, 18. Januar 2016; Al Jazeera, Female refugees face sexual exploitation in Greece, 28. Dezember 2015; UNHCR, Initial assessment report: Protection risk for women and girls in the european refugee and migrant crisis, Greece and the former Yugoslav Republic of Macedonia, Januar 2016, S. 7 ff.; Zeit Online, "In Athen bekommt man Oralverkehr für fünf Euro", 26. Februar 2014; Auskunft der SFH vom 6. Mai 2014 betreffend die Sozialhilfe für anerkannte Flüchtlinge [Personen mit internationalem Schutzstatus] in Griechenland und die Überstellungspraxis europäischer Staaten für die genannte Gruppe).</w:t>
      </w:r>
    </w:p>
    <w:p>
      <w:r>
        <w:rPr>
          <w:b/>
        </w:rPr>
        <w:t>E. 4.3.2</w:t>
      </w:r>
    </w:p>
    <w:p>
      <w:r>
        <w:t>Vor diesem Hintergrund und mit Blick auf die Verpflichtungen aus dem Palermo-Protokoll (insbesondere Einleitung von wirksamen Ermittlungen, zwischenstaatliche Zusammenarbeit und Gewährung der physischen Sicherheit des Opfers) und dem Europarats-Übereinkommen (insbesondere Identifikation von Meschenhandelsbetroffenen) drängt es sich auf, mit geeigneten Mitteln mehr über die von der Beschwerdeführerin vorgebrachten Umstände im Zusammenhang mit der von ihr behaupteterweise erlittenen Zwangsprostitution in Griechenland in Erfahrung zu bringen, um so die Glaubhaftigkeit ihrer Schilderungen besser beurteilen und die allenfalls notwendigen Schritte in die Wege leiten zu können. Dazu ist ein umfassendes Beweisverfahren mit einer erneuten Befragung der Beschwerdeführerin durch ein Frauenteam (und unter Berücksichtigung der Empfehlungen gemäss Art. 10 Abs. 2 des Europarats-Übereinkommens) und mit allfälligen Befragungen weiterer Personen (wie die Dolmetscherin, die Freunde der Beschwerdeführerin in der Schweiz und die Psychiaterin) sowie mit weiteren Abklärungen im In- wie auch im Ausland (Griechenland) - allenfalls in Zusammenarbeit mit den griechischen Behörden - unter Beizug der Spezialistin für Opfer von Menschenhandel des SEM und unter Berücksichtigung der auf Beschwerdeebene eingereichten Beweismittel durchzuführen. Dies sprengt offensichtlich den Rahmen des Beschwerdeverfahrens, weshalb es schon aus diesem Grund angezeigt erscheint, die Sache gestützt auf Art. 61 Abs. 1 VwVG zwecks Vornahme der erforderlichen Abklärungen ans SEM zurückzuweisen.</w:t>
      </w:r>
    </w:p>
    <w:p>
      <w:r>
        <w:rPr>
          <w:b/>
        </w:rPr>
        <w:t>E. 4.3.3</w:t>
      </w:r>
    </w:p>
    <w:p>
      <w:r>
        <w:t>Im Übrigen erscheint eine Kassation auch vor dem Hintergrund der nachfolgend darzulegenden Tatsache angezeigt, dass das SEM den Anspruch der Beschwerdeführerin auf rechtliches Gehör verletzt hat. Die Beschwerdeführerin legte im vorinstanzlichen Verfahren neben dem Original ihres Führerscheins und dem Original einer Vorladung des Staatsanwalts von B._______, Iran, (vgl. Bst. B.b), diverse in Griechisch abgefasste Dokumente ins Recht (vgl. Bst. A). Statt diese Dokumente in einem Beweismittelcouvert mit Inhaltsverzeichnis in die Akten aufzunehmen, steckte das SEM sie lediglich in die hintere und vordere Lasche des Plastikumschlags des N-Dossiers, weshalb bezüglich der in Griechisch abgefassten Dokumente auch nicht klar ist, worum es darin geht und wann sie genau eingereicht wurden. Dieses Vorgehen des SEM entspricht nicht einer geordneten und übersichtlichen Aktenführung, wie dies von der Rechtsprechung als Ausfluss des Anspruchs auf rechtliches Gehör gefordert wird. Ferner hat es das SEM auch unterlassen, die in Griechisch abgefassten Dokumente zu übersetzen respektive übersetzen zu lassen. Deren Inhalt könnte jedoch gerade mit Blick auf die genauere Abklärung der Vorbringen der Beschwerdeführerin bezüglich Zwangsprostitution und indirekt bezüglich Menschenhandel in Griechenland von Interesse sein.</w:t>
      </w:r>
    </w:p>
    <w:p>
      <w:r>
        <w:rPr>
          <w:b/>
        </w:rPr>
        <w:t>E. 5</w:t>
      </w:r>
    </w:p>
    <w:p>
      <w:r>
        <w:t>Nach dem Gesagten erscheint es angezeigt, die Sache gestützt auf Art. 61 Abs. 1 VwVG zur Vornahme der in E. 4.3.2 aufgeführten und jeglicher weiterer - im Zusammenhang mit den Vorbringen der Beschwerdeführerin betreffend Zwangsprostitution und Menschenhandel zweckdienlicher - Abklärungen sowie zwecks Erstellung eines Beweismittelcouverts mit Inhaltsverzeichnis und Übersetzung der in Griechisch abgefassten Dokumente ans SEM als erste Instanz zurückzuweisen.</w:t>
      </w:r>
    </w:p>
    <w:p>
      <w:r>
        <w:rPr>
          <w:b/>
        </w:rPr>
        <w:t>E. 6</w:t>
      </w:r>
    </w:p>
    <w:p>
      <w:r>
        <w:t>Die Beschwerde ist somit gutzuheissen, soweit die Aufhebung der angefochtenen Verfügung beantragt wird. Der vorinstanzliche Entscheid vom 26. Februar 2016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7</w:t>
      </w:r>
    </w:p>
    <w:p>
      <w:r>
        <w:t>Bei diesem Ausgang des Verfahrens sind keine Kosten zu erheben (Art. 63 Abs. 1 VwVG). 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Die Rechtsvertreterin der Beschwerdeführerin reichte am 17. März 2016 eine Kostennote ein. Der darin ausgewiesene Aufwand von 8 Stunden, welcher die 9-seitige Beschwerdeschrift und die 1-seitige Eingabe vom 17. März 2016 betrifft, ist nicht vollumfänglich angemessen und ist um 3 Stunden auf 5 Stunden zu kürzen. In dieser Kostennote nicht berücksichtigt ist demgegenüber der Aufwand für die Eingabe vom 25. April 2016 (1 Seite), die Eingabe vom 23. Mai 2016 (1 Seite), die Eingabe vom 30. August 2016 (1 Seite), die Eingabe vom 30. November 2016 (4 Seiten), die Eingabe vom 19. Dezember 2016 (4 Seiten) und die Eingabe vom 3. Januar 2017 (1 Seite). Dieser ist in Anwendung von Art. 14 Abs. 2 in fine VGKE und unter Berücksichtigung der massgeblichen Bemessungsfaktoren (vgl. Art. 8 ff. VGKE) auf 5.5 Stunden festzulegen, womit der Gesamtaufwand im Beschwerdeverfahren bei 10.5 Stunden liegt. Beim angegebenen Stundenansatz von Fr. 150. ergibt dies ein Honorar von Fr. 1'575. . Gemäss Kostennote vom 17. März 2016 scheinen keine Mehrwertsteuern geschuldet zu sein. Das SEM ist folglich anzuweisen, der Beschwerdeführerin eine Parteientschädigung in der Höhe von Fr. 1'575.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