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E-1498/2024 vom 19. Juli 2024</w:t>
      </w:r>
    </w:p>
    <w:p>
      <w:r>
        <w:t>Bundesverwaltungsgericht, 2024-07-19, DE</w:t>
      </w:r>
    </w:p>
    <w:p>
      <w:r>
        <w:rPr>
          <w:b/>
        </w:rPr>
        <w:t xml:space="preserve">Quelle: </w:t>
      </w:r>
      <w:r>
        <w:t>https://mcp.opencaselaw.ch/entscheid/bvger_E-1498_2024</w:t>
      </w:r>
    </w:p>
    <w:p>
      <w:r>
        <w:t>FR: TAF E-1498/2024 du 19 juillet 2024</w:t>
      </w:r>
    </w:p>
    <w:p>
      <w:r>
        <w:t>IT: TAF E-1498/2024 del 19 luglio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vom 7. März 2024 sowie auch die Eingabe vom 11. März 2024 sind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Der Beschwerdeführer rügt in formeller Hinsicht eine Verletzung des rechtlichen Gehörs. Die Vorinstanz habe die Dossiers der Asylverfahren seiner Onkel (N […], N […]) ohne deren Erlaubnis konsultiert sowie ihm das rechtliche Gehör dazu nicht gewährt. Ihm seien somit Drittakten ent- gegengehalten worden, zu denen er sich nicht habe äussern können. Des Weiteren habe sie die Begründungspflicht verletzt, indem sie den Umstand, dass er minderjährig sei, bei der Prüfung des Wegweisungsvollzugs nicht</w:t>
      </w:r>
    </w:p>
    <w:p>
      <w:r>
        <w:t>E-1498/2024 Seite 5 berücksichtigt habe. Diese Rügen sind vorab zu prüfen, da sie geeignet sind, eine Kassation der angefochtenen Verfügung herbeizuführen.</w:t>
      </w:r>
    </w:p>
    <w:p>
      <w:r>
        <w:rPr>
          <w:b/>
        </w:rPr>
        <w:t>E. 4.2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Das Recht auf Akteneinsicht stellt einen Teilgehalt des Anspruchs auf rechtliches Gehör dar (Art. 26 VwVG).</w:t>
      </w:r>
    </w:p>
    <w:p>
      <w:r>
        <w:rPr>
          <w:b/>
        </w:rPr>
        <w:t>E. 4.3</w:t>
      </w:r>
    </w:p>
    <w:p>
      <w:r>
        <w:t>Die Konsultation der Dossier der beiden sich in der Schweiz befindli- chen Onkel durch die Vorinstanz diente vorliegend der Sachverhaltsermitt- lung. Zu den allgemeinen Grundsätzen des Asylverfahrens gehört der Un- tersuchungsgrundsatz (vgl. Art. 12 VwVG i.V.m. Art. 6 AsylG). Demnach hat die verfügende Behörde von Amtes wegen für die richtige und vollstän- dige Abklärung des rechtserheblichen Sachverhaltes zu sorgen. Dass die Vorinstanz die Akten der beiden Onkel konsultiert hat, ist vor diesem Hin- tergrund nicht zu beanstanden, diente dieses Vorgehen einzig der umfas- senden Sachverhaltsermittlung. Dies war vorliegend umso mehr ange- zeigt, als der Beschwerdeführer mit einem der Onkel in die Schweiz einge- reist war und beide aus denselben Gründen Asyl beantragt hatten. Sodann führte die Konsultation – entgegen den Ausführungen des Beschwerdefüh- rers – für diesen nicht zu Nachteilen, insbesondere auch deshalb, weil die Vorinstanz die Dossiers auf Hinweise bezüglich einer allfälligen Reflexver- folgung überprüft haben wird. Die Vorinstanz konnte den konsultierten Dos- siers nichts entnehmen, was auf eine Gefährdung des Beschwerdeführers aufgrund der Verwandtschaft zu den Onkeln hätte schliessen lassen kön- nen. Sodann durfte sie auf Einwilligungen der beiden Onkel zur Einsicht- nahme in deren Verfahrensakten verzichten, da ihr diese bereits bekannt waren und dadurch auch keine Rechte der betroffenen Personen verletzt wurden. Nach dem Gesagten war die Vorinstanz entgegen den Ausführun- gen in der Eingabe nicht gehalten, dem Beschwerdeführer zum Konsulta- tionsergebnis das rechtliche Gehör zu gewähren, zumal es ihm die konsul- tierten Akten nicht entgegenhielt.</w:t>
      </w:r>
    </w:p>
    <w:p>
      <w:r>
        <w:rPr>
          <w:b/>
        </w:rPr>
        <w:t>E. 4.4</w:t>
      </w:r>
    </w:p>
    <w:p>
      <w:r>
        <w:t>Unter Ziffer III der angefochtenen Verfügung hat sich die Vorinstanz einlässlich zum Übereinkommen über die Rechte des Kindes vom 20. No- vember 1989 (KRK; SR 0.107) und deren Umsetzung in der nationalen Gesetzgebung geäussert. Die Zumutbarkeit des Wegweisungsvollzugs hat sie dabei vor allem unter diesen gesetzlichen Aspekten des Kindeswohls geprüft. Dass sie dabei Bezug auf die Erwägungen unter Ziffer II der ange-</w:t>
      </w:r>
    </w:p>
    <w:p>
      <w:r>
        <w:t>E-1498/2024 Seite 6 fochtenen Verfügung (Verneinung Flüchtlingseigenschaft) genommen hat, begründet keine Verletzung der Begründungspflicht. Vielmehr hat sie zu- lässigerweise die dort gewonnene Erkenntnis, der Beschwerdeführer sei in der Türkei nicht in asylrelevanter Weise gefährdet, zur Beurteilung des Wegweisungsvollzugs herangezogen. Schliesslich beschlägt die Beurtei- lung der Vorinstanz, das Kindeswohl spreche nicht gegen die Zumutbarkeit des Wegweisungsvollzugs, die rechtliche Würdigung und nicht formelle As- pekte des Verfahrens.</w:t>
      </w:r>
    </w:p>
    <w:p>
      <w:r>
        <w:rPr>
          <w:b/>
        </w:rPr>
        <w:t>E. 4.5</w:t>
      </w:r>
    </w:p>
    <w:p>
      <w:r>
        <w:t>Soweit der Beschwerdeführer sinngemäss eine unvollständige oder unrichtige Sachverhaltsfeststellung rügt, begründet er dies nicht ansatz- weise und sind den Akten auch keine entsprechenden Hinweise zu entneh- men, weshalb nicht weiter darauf einzugehen ist.</w:t>
      </w:r>
    </w:p>
    <w:p>
      <w:r>
        <w:rPr>
          <w:b/>
        </w:rPr>
        <w:t>E. 4.6</w:t>
      </w:r>
    </w:p>
    <w:p>
      <w:r>
        <w:t>Nach dem Gesagten erweisen sich die formellen Rügen als unbegrün- det, weshalb der Kassationsantrag abzuweisen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kommt in der angefochtenen Verfügung zum Schluss, die Vorbringen des Beschwerdeführers hielten den Anforderungen an die Flüchtlingseigenschaft gemäss Art. 3 AsylG nicht stand. Zur Begründung führt die Vorinstanz aus, bei den Vorbringen des Be- schwerdeführers handle es sich um Übergriffe von Drittpersonen, denen kein Motiv nach Art. 3 AsylG zugrunde liege. Die türkischen Behörden seien grundsätzlich schutzfähig sowie schutzwillig und vorliegend auch tätig ge- worden. Dass der Beschwerdeführer es unterlassen habe, die vorhandene und funktionierende Schutzinfrastruktur in Anspruch zu nehmen, könne nicht als Schutzunwilligkeit oder -fähigkeit der türkischen Behörden ausge- legt werden.</w:t>
      </w:r>
    </w:p>
    <w:p>
      <w:r>
        <w:t>E-1498/2024 Seite 7 Sodann habe er sich nach dem Ereignis noch einige Zeit in C._______ und anschliessend während eines Monats in E._______ aufgehalten, ohne dass ihm etwas zugestossen wäre. Es existiere daher offensichtlich auch eine innerstaatliche Schutzalternative. Ferner lebten die Verwandten, die ebenfalls an der geschilderten Auseinandersetzung teilgenommen hätten, weiterhin in ihren Dörfern. Schliesslich würden die Vorfälle in E._______ nicht über die Nachteile hin- ausgehen, welche weite Teile der kurdischen Bevölkerung in der Türkei in ähnlicher Weise treffen könnten.</w:t>
      </w:r>
    </w:p>
    <w:p>
      <w:r>
        <w:rPr>
          <w:b/>
        </w:rPr>
        <w:t>E. 6.2</w:t>
      </w:r>
    </w:p>
    <w:p>
      <w:r>
        <w:t>In der Rechtsmitteleingabe rügt der Beschwerdeführer, die Vorinstanz habe ihn zu Unrecht nicht als Flüchtling anerkannt. Die Vorinstanz gehe fälschlicherweise davon aus, die Türkei verfüge über Schutzorgane bezie- hungsweise stünden diese ethnischen Kurden ebenfalls zur Verfügung. Die Blutfehde könne jedes Familienmitglied betreffen und das Land sei nicht in der Lage, alle seine Bürger davor zu schützen. Zumindest würden die Be- hörden kurdischen Personen den Schutz verweigern.</w:t>
      </w:r>
    </w:p>
    <w:p>
      <w:r>
        <w:rPr>
          <w:b/>
        </w:rPr>
        <w:t>E. 7.1</w:t>
      </w:r>
    </w:p>
    <w:p>
      <w:r>
        <w:t>Die vorinstanzlichen Erwägungen sind nicht zu beanstanden. In der an- gefochtenen Verfügung wird einlässlich dargelegt, aus welchen Gründen der Beschwerdeführer die Voraussetzungen zur Anerkennung als Flücht- ling nicht erfüllt. Mit der Vorinstanz ist festzuhalten, dass die vorgebrachten Bedrohungen von privaten Dritten ausgehen und der türkische Staat ge- mäss konstanter Rechtsprechung des Bundesverwaltungsgerichts in Be- zug auf gemeinstrafrechtlich relevantes Verhalten als schutzfähig sowie schutzwillig gilt, dies auch in Fällen von drohenden Nachteilen aufgrund von «Blutrache» (vgl. zuletzt etwa Urteil des BVGer D-2318/2024 vom 15. Mai 2024 E. 6.3 m.w.H.). Sodann trifft die Behauptung in der Be- schwerde, es sei von der Schutzunwilligkeit der türkischen Behörden ge- genüber der kurdischen Bevölkerung auszugehen, weder in dieser Abso- lutheit noch im vorliegenden Fall zu (vgl. dazu Urteil des BVGer D-6861/2023 vom 25. April 2024 E. 7.3). Die Polizei ist im hier zu beurtei- lenden Fall gemäss den eigenen Angaben des Beschwerdeführers und den von ihm eingereichten Beweismitteln tätig geworden und hat mehrere Personen aus beiden Familien befragt sowie inhaftiert. Dass nur Leute aus seiner Familie längerfristig festgenommen wurden, deutet nicht ohne wei- ters auf eine Schutzverweigerung gegenüber der kurdischen Bevölkerung hin. Vielmehr könnten die schweren körperlichen Verletzungen, welche die Personen der gegnerischen Familie erlitten hatten, allenfalls der Grund</w:t>
      </w:r>
    </w:p>
    <w:p>
      <w:r>
        <w:t>E-1498/2024 Seite 8 dafür gewesen sein. Ferner weist die Vorinstanz zu Recht darauf hin, dass die am Streit beteiligten Angehörigen gemäss Angaben des Beschwerde- führers weiterhin in ihren Heimatdörfern leben, weshalb nicht davon aus- zugehen ist, der Beschwerdeführer habe eine konkrete, zukünftige Gefähr- dung zu befürchten. Sollte er nach einer Rückkehr dennoch bedroht wer- den, wäre es ihm zuzumuten, sich bei den zuständigen Behörden zu mel- den und die Hilfe staatlicher Schutzeinrichtungen sowie rechtlicher Anlauf- stellen in Anspruch zu nehmen. Daran vermögen auch die Ausführungen des Beschwerdeführers im Zusammenhang mit der allgemeinen Situation betreffend Blutfehden in der Türkei nichts zu ändern. Insbesondere reicht der blosse Hinweis in der Beschwerde auf das in der Türkei bestehende allgemeine Risiko, anlässlich einer Blutfehde getötet zu werden, nicht aus, eine gezielte Verfolgung des Beschwerdeführers nachzuweisen. Auch ist in diesem Zusammenhang mit der Vorinstanz festzuhalten, dass es sich bei der geltend gemachten Bedrohung um ein lokal begrenztes Problem handelt, welchem sich der Beschwerdeführer durch ein innerstaatliches Ausweichen entziehen kann. Dies ist ihm umso mehr zuzumuten, als er gemäss eigenen Angaben einige Jahre vor der Ausreise bei seiner Mutter in E._______ gelebt hat, was über 1’000 Kilometer von D._______ entfernt liegt. Schliesslich sind die sich grösstenteils auf die Wiederholung des ak- tenkundigen Sachverhalts beschränkten Vorbringen auf Beschwerde- ebene – die zudem bereits in der erstinstanzlichen Verfügung zutreffend gewürdigt wurden – nicht geeignet, eine flüchtlingsrechtlich relevante Ver- folgung im Sinne von Art. 3 Abs. 2 AsylG zu begründen.</w:t>
      </w:r>
    </w:p>
    <w:p>
      <w:r>
        <w:rPr>
          <w:b/>
        </w:rPr>
        <w:t>E. 7.2</w:t>
      </w:r>
    </w:p>
    <w:p>
      <w:r>
        <w:t>Zusammenfassend ist festzuhalten, dass die Vorinstanz zu Recht die Flüchtlingseigenschaft des Beschwerdeführers verneint und das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 teilung einer solchen. Die Wegweisung wurde demnach ebenfalls zu Recht angeordnet (vgl. BVGE 2013/37 E. 4.4; 2009/50 E. 9, je m.w.H.).</w:t>
      </w:r>
    </w:p>
    <w:p>
      <w:r>
        <w:t>E-1498/2024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Sodann schützt das Prinzip des flüchtlingsrechtlichen Non-Refoulement nur Personen,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die Türkei ist demnach unter dem Aspekt von Art. 5 AsylG rechtmässig. Ferner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landes- als auch der völkerrechtlichen Bestimmungen zulässig.</w:t>
      </w:r>
    </w:p>
    <w:p>
      <w:r>
        <w:t>E-1498/2024 Seite 10</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auszugehen (vgl. zuletzt etwa Urteil des BVGer D-5779/2022 vom 16. Mai 2024 E. 8.3.2 m.w.H.).</w:t>
      </w:r>
    </w:p>
    <w:p>
      <w:r>
        <w:rPr>
          <w:b/>
        </w:rPr>
        <w:t>E. 9.4</w:t>
      </w:r>
    </w:p>
    <w:p>
      <w:r>
        <w:t>Den Akten sind sodann keine Hinweise darauf zu entnehmen, dass das Kindeswohl nach Art. 3 KRK dem Wegweisungsvollzug entgegenstehen würde. Diesbezüglich hat die Vorinstanz bereits einlässlich dargelegt, dass der nur wenige Monate vor der Volljährigkeit stehende Beschwerdeführer in der Türkei über ein tragfähiges familiäres Netzwerk verfügt, das ihn auf- nehmen und unterstützen können wird. Insbesondere kann er zurück zu seiner in E._______ lebenden Mutter, bei welcher er bis zu seiner Ausreise gelebt hat. Da gemäss seinen Angaben deren finanzielle Situation gut ist, ist davon auszugehen, dass er auch in dieser Hinsicht – zumindest vo- rübergehend – Unterstützung erhalten wird. Zudem verfügt er über ein knappes Jahr Arbeitserfahrungen im (…), mithin ist ihm auch in Anbetracht seines Alters zuzumuten, sich erneut um eine Anstellung zu bemühen. Schliesslich hielt er sich lediglich während zehn Monate in der Schweiz auf. Eine Reintegration in seinem Heimatland wird ihm daher ohne weiteres möglich sein. Schliesslich kann der Beschwerdeführer zusammen mit sei- nem Onkel (N […]), dessen Asylgesuch mit Urteil E-1542/2024 des Bun- desverwaltungsgerichts vom 16. Mai 2024 letztinstanzlich abgewiesen wurde, in den Heimatstaat zurückkehren. Im Übrigen kann vollumfänglich auf die zutreffenden Erwägungen der Vorinstanz verwiesen werden, denen der Beschwerdeführer in der Rechtsmitteleingabe nichts Stichhaltiges ent- gegenzusetzen vermag. Nach dem Gesagten erweist sich der Vollzug der Wegweisung auch als zumutbar.</w:t>
      </w:r>
    </w:p>
    <w:p>
      <w:r>
        <w:t>E-1498/2024 Seite 11</w:t>
      </w:r>
    </w:p>
    <w:p>
      <w:r>
        <w:rPr>
          <w:b/>
        </w:rPr>
        <w:t>E. 9.5</w:t>
      </w:r>
    </w:p>
    <w:p>
      <w:r>
        <w:t>Der Beschwerdeführer verfügt über eine türkische Identitätskarte und es ist ihm zuzumuten, sich bei der zuständigen Vertretung des Heimatstaa- tes die für eine Rückkehr allenfalls notwendigen weiteren Reisedokumente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Gesuche um Gewährung der unentgeltlichen Rechtspflege und amtlichen Verbeiständung sind – aufgrund der sich aus dem Vorstehenden ergebenden Aussichtslosigkeit – abzuweisen (Art. 65 Abs. 1 und 2 VwVG).</w:t>
      </w:r>
    </w:p>
    <w:p>
      <w:r>
        <w:rPr>
          <w:b/>
        </w:rPr>
        <w:t>E. 11.2</w:t>
      </w:r>
    </w:p>
    <w:p>
      <w:r>
        <w:t>Bei diesem Ausgang des Verfahrens wären die Kosten dem Be- schwerdeführer aufzuerlegen (Art. 63 Abs. 1 VwVG). Aufgrund dessen Min- derjährigkeit wird gestützt auf Art. 6 Bst. b des Reglements vom 21. Feb- ruar 2008 über die Kosten und Entschädigungen vor dem Bundesverwal- tungsgericht [VGKE, SR 173.320.2]) auf die Erhebung von Verfahrenskos- ten verzichtet. Bei diesem Verfahrensausgang erweist sich der Antrag auf Befreiung von der Kostenvorschusspflicht als gegenstandslos.</w:t>
      </w:r>
    </w:p>
    <w:p>
      <w:r>
        <w:t>(Dispositiv nächste Seite)</w:t>
      </w:r>
    </w:p>
    <w:p>
      <w:r>
        <w:t>E-1498/2024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