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E-1498/2011 vom 19. September 2012</w:t>
      </w:r>
    </w:p>
    <w:p>
      <w:r>
        <w:t>Bundesverwaltungsgericht, 2012-09-19, DE</w:t>
      </w:r>
    </w:p>
    <w:p>
      <w:r>
        <w:rPr>
          <w:b/>
        </w:rPr>
        <w:t xml:space="preserve">Quelle: </w:t>
      </w:r>
      <w:r>
        <w:t>https://mcp.opencaselaw.ch/entscheid/bvger_E-1498_2011</w:t>
      </w:r>
    </w:p>
    <w:p>
      <w:r>
        <w:t>FR: TAF E-1498/2011 du 19 septembre 2012</w:t>
      </w:r>
    </w:p>
    <w:p>
      <w:r>
        <w:t>IT: TAF E-1498/2011 del 19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vorliegend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ist zu prüfen, ob sich die Rüge des Beschwerdeführers in seiner Replik, er vermute, dass der Dolmetscher seine Vorbringen bei den Befragungen nicht richtig übersetzt habe, als begründet erweist, weil gegebenenfalls die angefochtene Verfügung zu kassieren und die Sache an die Vorinstanz zur Neubeurteilung zurückzuweisen wäre. In den Protokollen finden sich weder Anzeichen für eine erschwerte sprachliche Verständigung noch für eine unvollständige respektive unrichtige Protokollierung der Aussagen. Der Beschwerdeführer antwortete vielmehr auf entsprechende Fragen, er verstehe den Dolmetscher gut, und er bestätigte am Schluss der Befragungen, das Protokoll sei ihm rückübersetzt worden und entspreche seinen Aussagen. Die diesbezügliche Rüge erweist sich somit als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Nach Prüfung der Akten gelangt das Bundesverwaltungsgericht vorliegend zum Schluss, dass das BFM zu Recht und mit zutreffender Begründung die Vorbringen des Beschwerdeführers zur Begründung seines Asylgesuchs als den Anforderungen von Art. 7 AsylG an die Glaubhaftigkeit nicht genügend qualifiziert hat. Die Entgegnungen auf Beschwerdeebene sind mangels Stichhaltigkeit nicht geeignet, an dieser Beurteilung etwas zu ändern. Insbesondere ist in Übereinstimmung mit den diesbezüglichen Ausführungen in der Vernehmlassung vom 24. März 2011 festzustellen, dass die Erklärung des Beschwerdeführers in der Rechtsmitteleingabe, er sei zuerst von einem Scherz seiner Freunde ausgegangen und habe deshalb nicht unmittelbar reagiert, angesichts der von der Vorinstanz aufgezeigten widersprüchlichen Aussagen anlässlich der Anhörung sein Verhalten in der Tat nicht nachvollziehbar erscheinen lässt. Das weitere Vorbringen, er sei deshalb zur Zielscheibe geworden, weil er mit (...) befreundet gewesen sei, die für (...) gearbeitet hätten, lässt sich mit seinen Aussagen bei der Anhörung, er habe keine Feinde gehabt und niemandem etwas angetan, es könne nicht sein, dass man nur deshalb bedroht werde, weil man (...) (vgl. Akten BFM A13/15 S. 12 Frage 112), und auf entsprechende Fragen angab, die Warnungen seien ihm und nicht (...) zugegangen, weil er (...) sei und dieser nicht häufig ins Geschäft gekommen sei (vgl. A13/15 S. 9 Fragen 82 und 83), in keiner Weise in Einklang bringen. Hinsichtlich des zusammen mit der Replik eingereichten Bestätigungsschreibens von (...) aus Herat bestehen erhebliche Zweifel an dessen Echtheit. Zum einen ist darin nicht namentlich vom Beschwerdeführer, sondern von einer Person namens (...) die Rede, und zum anderen enthält das Dokument keine Unterschriften, sondern lediglich diverse Stempel. Unbesehen davon ist zudem festzustellen, dass es sich dabei um ein blosses Gefälligkeitsschreiben ohne Beweiswert handelt. Mangels substanziierter weiterer Entgegnungen erübrigt es sich, auf die übrigen Ausführungen in der Beschwerde und in der Replik einzugehen, weil diese nicht geeignet sind, zu einer anderen Beurteilung zu führen. Zur Vermeidung von Wiederholungen kann an dieser Stelle vollumfänglich auf die zutreffenden Erwägungen in der angefochtenen Verfügung verwiesen werden. Zusammenfassend folgt, dass es dem Beschwerdeführer nicht gelungen ist, Gründe nach Art. 3 AsylG nachzuweisen oder glaubhaft zu machen. Die Vorinstanz hat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7.3.2.1</w:t>
      </w:r>
    </w:p>
    <w:p>
      <w:r>
        <w:t>Zur allgemeinen Situation in Afghanistan ist auf BVGE 2011/7 zu verweisen. Hinsichtlich der Lage in der Grossstadt Herat sodann, wo der Beschwerdeführer eigenen Angaben zufolge geboren ist und bis zu seiner Ausreise gelebt hat, ist das Bundesverwaltungsgericht in BVGE 2011/38 zur Erkenntnis gelangt, dass diese mit derjenigen in der Stadt Kabul vergleichbar und der Vollzug der Wegweisung dorthin grundsätzlich - vorbehältlich der in BVGE 2011/7 statuierten individuellen Voraussetzungen - zumutbar ist.</w:t>
      </w:r>
    </w:p>
    <w:p>
      <w:r>
        <w:rPr>
          <w:b/>
        </w:rPr>
        <w:t>E. 7.3.2.2</w:t>
      </w:r>
    </w:p>
    <w:p>
      <w:r>
        <w:t>Vorliegend ergeben sich aus den Akten keine individuellen Umstände, welche es rechtfertigen würden, den Vollzug der Wegweisung in die Stadt Herat als unzumutbar zu qualifizieren. Beim Beschwerdeführer handelt es sich um einen - soweit aktenkundig - (...), der aufgrund seiner Tätigkeit (...) Berufserfahrung hat. Zudem verfügt er in Herat mit (...) über ein tragfähiges verwandtschaftliches Beziehungsnetz, das ihm beim Wiederaufbau einer neuen Existenzgrundlage behilflich sein kann.</w:t>
      </w:r>
    </w:p>
    <w:p>
      <w:r>
        <w:rPr>
          <w:b/>
        </w:rPr>
        <w:t>E. 7.3.3</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(Art. 8 Abs. 4 AsylG; vgl. dazu BVGE 2008/34 E. 12 S. 513-515),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von Fr. 600.- dem Beschwerdeführer aufzuerlegen (Art. 63 Abs. 1 VwVG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