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E-1488/2015 vom 12. März 2015</w:t>
      </w:r>
    </w:p>
    <w:p>
      <w:r>
        <w:t>Bundesverwaltungsgericht, 2015-03-12, DE</w:t>
      </w:r>
    </w:p>
    <w:p>
      <w:r>
        <w:rPr>
          <w:b/>
        </w:rPr>
        <w:t xml:space="preserve">Quelle: </w:t>
      </w:r>
      <w:r>
        <w:t>https://mcp.opencaselaw.ch/entscheid/bvger_E-1488_2015</w:t>
      </w:r>
    </w:p>
    <w:p>
      <w:r>
        <w:t>FR: TAF E-1488/2015 du 12 mars 2015</w:t>
      </w:r>
    </w:p>
    <w:p>
      <w:r>
        <w:t>IT: TAF E-1488/2015 del 12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Kann kein Mitgliedstaat gemäss diesen Kriterien bestimmt werden, ist derjenige Staat zuständig, in welchem das erste Asylgesuch gestellt wurde (Art. 3 Abs. 2 Satz 1 Dublin-III-VO). Erweist sich die Überweisung eines Antragsteller in den eigentlich zuständigen Mitgliedstaat als unmöglich, weil es wesentliche Gründe für die Annahme gibt, dass das dortige Asylverfahren und die Aufnahmebedingungen für Antragsteller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Art.23-25 und 29 wieder aufzunehmen (Art. 18 Abs. 1 Bst. b Dublin-III-VO). Diese Verpflichtung erlischt, wenn der Gesuchsteller das Herrschaftsgebiet der Mitgliedstaaten während einer Dauer von mindestens drei Monaten verlassen hat, ausser er verfüge über einen durch den zuständigen Mitgliedstaat ausgestellten Aufenthaltstitel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sogenannten Eurodac-Datenbank ergab, dass dieser am 30. November 2014 in Ungarn registriert worden war. Das SEM ersuchte deshalb die ungarischen Behörden am 21. Januar 2015 um seine Aufnahme gestützt auf Art. 13 Abs. 1 Dublin-III-VO. Diese teilten am 27. Februar 2015 mit, der Beschwerdeführer habe in Ungarn am 30. November 2014 um Asyl ersucht und sei darauf verschwunden, und stimmten der Rückübernahme gemäss Art. 18 Abs. 1 Bst. b Dublin-III-VO zu. Der Beschwerdeführer bestreitet nicht, in Ungarn ein Asylgesuch eingereicht zu haben, und auch die grundsätzliche Zuständigkeit dieses Mitgliedstaates blieb unbestritten. Demnach ist Ungarn zur Wiederaufnahme des Beschwerdeführers verpflichtet und für die Durchführung des vorliegenden Asyl- und Wegweisungsverfahrens zuständig.</w:t>
      </w:r>
    </w:p>
    <w:p>
      <w:r>
        <w:rPr>
          <w:b/>
        </w:rPr>
        <w:t>E. 5.2</w:t>
      </w:r>
    </w:p>
    <w:p>
      <w:r>
        <w:t>Im Lichte von Art. 3 Abs. 2 Dublin-III-VO ist zu prüfen, ob es wesentliche Gründe für die Annahme gibt, das Asylverfahren oder die Aufnahmebedingungen für Asylsuchende in Ungarn würden systemische Schwach­stellen aufweisen, die eine Gefahr einer unmenschlichen oder entwürdigenden Behandlung im Sinne von Art. 4 EU-Grundrechtecharta mit sich bringen würden.</w:t>
      </w:r>
    </w:p>
    <w:p>
      <w:r>
        <w:rPr>
          <w:b/>
        </w:rPr>
        <w:t>E. 5.2.1</w:t>
      </w:r>
    </w:p>
    <w:p>
      <w:r>
        <w:t>Das Bundesverwaltungsgericht hat sich mit Urteil E-2093/2012 vom 9. Oktober 2013 (E. 9 ff.) eingehend mit der aktuellen Lageentwicklung für Asylsuchende in Ungarn auseinandergesetzt und bezüglich der möglichen Haft und der Haftbedingungen (in der Vergangenheit war von mangelnder Hygiene, systematischer Verabreichung von Beruhigungsmitteln und Gewaltübergriffen berichtet worden) festgestellt, die Vermutung, Ungarn garantiere die in der EMRK aufgeführten Rechte und halte seine staatsvertraglichen Verpflichtungen ein, könne nicht vorbehaltlos aufrechterhalten werden. Im Fall von besonders verwundbaren Personen sei eine sorgfältige Überprüfung einer allfällig bestehenden Gefahr einer unmenschlichen oder erniedrigenden Behandlung respektive einer Verletzung des Non-Refoulement-Gebots im Sinne der EMRK und des Abkommens vom 28. Juli 1951 über die Rechtsstellung der Flüchtlinge (FK, SR 0.142.30) angezeigt. Der gemäss den Akten junge und gesunde Beschwerdeführer gehört nicht zur Gruppe besonders verwundbarer Personen, weshalb keinen besonderen Umständen Rechnung getragen werden muss.</w:t>
      </w:r>
    </w:p>
    <w:p>
      <w:r>
        <w:rPr>
          <w:b/>
        </w:rPr>
        <w:t>E. 5.2.2</w:t>
      </w:r>
    </w:p>
    <w:p>
      <w:r>
        <w:t>Nach der Rechtsprechung des Bundesverwaltungsgerichts weisen das Asylverfahren und die Aufnahmebedingungen für Antragsteller in Ungarn grundsätzlich keine systemischen Schwachstellen auf, die eine Gefahr einer unmenschlichen oder entwürdigenden Behandlung im Sinne von Art. 4 der EU-Grundrechtecharta mit sich bringen würden. Im vorliegenden Fall kann davon ausgegangen werden, Ungarn als Signatarstaat EMRK, der FK und des Zusatzprotokolls der FK vom 31. Januar 1967 (SR 0.142.301) sowie des Übereinkommens vom 10. Dezember 1984 gegen Folter und andere grausame, unmenschliche oder erniedrigende Behandlung oder Strafe (FoK, SR 0.105) werde seinen diesbezüglichen völkerrechtlichen Verpflichtungen nachkommen. Weiter ist anzunehmen,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5.2.3</w:t>
      </w:r>
    </w:p>
    <w:p>
      <w:r>
        <w:t>Unter diesen Umständen ist die Anwendung von Art. 3 Abs. 2 Satz 2 Dublin-III-VO nicht gerechtfertigt.</w:t>
      </w:r>
    </w:p>
    <w:p>
      <w:r>
        <w:rPr>
          <w:b/>
        </w:rPr>
        <w:t>E. 5.3</w:t>
      </w:r>
    </w:p>
    <w:p>
      <w:r>
        <w:t>Der Beschwerdeführer verweist auf die Anwendung der Ermessensklausel von Art. 17 Abs. 1 Dublin-III-VO, welche zum Selbsteintritt der Schweiz und zur Beurteilung des Antrags auf internationalen Schutz durch dieses Land führen könne. Er führt aus, sein Asylgesuch stehe in engem Zusammenhang mit demjenigen seines Vaters (N [...]).</w:t>
      </w:r>
    </w:p>
    <w:p>
      <w:r>
        <w:rPr>
          <w:b/>
        </w:rPr>
        <w:t>E. 5.3.1</w:t>
      </w:r>
    </w:p>
    <w:p>
      <w:r>
        <w:t>Wie das SEM in der angefochtenen Verfügung feststellte, sind die Verwandten des volljährigen Beschwerdeführers in der Schweiz keine Familienangehörigen im Sinne von Art. 2 Bst. g Dublin-III-VO. Es besteht folglich kein Anspruch auf Behandlung der Asylgesuche im gleichen Mitgliedstaat gemäss Art. 3 Abs. 1 i.V.m. Art. 9-11 Dublin-III-VO. Die Tatsache, dass das Asylverfahren seines Vaters in der Schweiz behandelt worden ist, rechtfertigt die Anwendung der Ermessensklausel nicht. Dessen Asylgesuch wurde im Übrigen (...) rechtskräftig abgewiesen und seine Wegweisung aus der Schweiz sowie der Vollzug verfügt.</w:t>
      </w:r>
    </w:p>
    <w:p>
      <w:r>
        <w:rPr>
          <w:b/>
        </w:rPr>
        <w:t>E. 5.3.2</w:t>
      </w:r>
    </w:p>
    <w:p>
      <w:r>
        <w:t>In der Beschwerde wird kein konkretes und ernsthaftes Risiko dargetan, die ungarischen Behörden würden sich weigern, den Beschwerdeführer wieder aufzunehmen und seinen Antrag auf internationalen Schutz unter Einhaltung der Regeln der Verfahrensrichtlinie zu prüfen. Den Akten sind auch keine Gründe für die Annahme zu entnehmen, Ungarn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Sodann hat der Beschwerdeführer keine konkreten Hinweise für die Annahme dargetan, Ungarn würde ihm dauerhaft die ihm gemäss Aufnahmerichtlinie zustehenden minimalen Lebensbedingungen vorenthalten, und bei einer vorübergehenden Einschränkung könnte er sich im Übrigen nötigenfalls an die ungarischen Behörden wenden und die ihm zustehenden Aufnahmebedingungen auf dem Rechtsweg einfordern (vgl. Art. 26 Aufnahmerichtlinie).</w:t>
      </w:r>
    </w:p>
    <w:p>
      <w:r>
        <w:rPr>
          <w:b/>
        </w:rPr>
        <w:t>E. 5.3.3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Ungarn in Anwendung von Art. 44 AsylG ebenfalls zu Recht angeordnet (Art. 32 Bst. a der Asylverordnung 1 vom 11. August 1999 [AsylV 1, SR 142.311]).</w:t>
      </w:r>
    </w:p>
    <w:p>
      <w:r>
        <w:rPr>
          <w:b/>
        </w:rPr>
        <w:t>E. 7</w:t>
      </w:r>
    </w:p>
    <w:p>
      <w:r>
        <w:t>Da das Fehlen von Überstellungshindernissen bereits Voraussetzung eines Nichteintretensentscheides gemäss Art. 31a Abs. 1 Bst. b AsylG ist, sind allfällige Vollzugshindernisse im Sinne von Art. 83 Abs. 3 und 4 AuG (SR 142.20) nicht mehr zu prüfen (vgl. BVGE 2010/45 E. 10).</w:t>
      </w:r>
    </w:p>
    <w:p>
      <w:r>
        <w:rPr>
          <w:b/>
        </w:rPr>
        <w:t>E. 8</w:t>
      </w:r>
    </w:p>
    <w:p>
      <w:r>
        <w:t>Nach dem Gesagten ist die Beschwerde abzuweisen und die Verfügung des SEM zu bestätigen.</w:t>
      </w:r>
    </w:p>
    <w:p>
      <w:r>
        <w:rPr>
          <w:b/>
        </w:rPr>
        <w:t>E. 9</w:t>
      </w:r>
    </w:p>
    <w:p>
      <w:r>
        <w:t>Bei diesem Ausgang sind die Verfahrenskosten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