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E-1488/2013 vom 16. April 2013</w:t>
      </w:r>
    </w:p>
    <w:p>
      <w:r>
        <w:t>Bundesverwaltungsgericht, 2013-04-16, DE</w:t>
      </w:r>
    </w:p>
    <w:p>
      <w:r>
        <w:rPr>
          <w:b/>
        </w:rPr>
        <w:t xml:space="preserve">Quelle: </w:t>
      </w:r>
      <w:r>
        <w:t>https://mcp.opencaselaw.ch/entscheid/bvger_E-1488_2013</w:t>
      </w:r>
    </w:p>
    <w:p>
      <w:r>
        <w:t>FR: TAF E-1488/2013 du 16 avril 2013</w:t>
      </w:r>
    </w:p>
    <w:p>
      <w:r>
        <w:t>IT: TAF E-1488/2013 del 16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3.2</w:t>
      </w:r>
    </w:p>
    <w:p>
      <w:r>
        <w:t>Das Bundesverwaltungsgericht ist an die Begründung der Vorinstanz nicht gebunden (Art. 62 Abs. 4 VwVG) und kann auf Beschwerdeebene eine Substitution der Motive vornehmen.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gab zu Protokoll, dass bei den Ermittlungen zum Tod seines Vaters in dessen Auto, mit welchem er nach C._______ habe fahren wollen, Waffen gefunden worden seien. Anlässlich einer darauf erfolgten Hausdurchsuchung sei eine russische D._______, eine Pistole, im Haus der Familie gefunden worden. Weil Waffenbesitz in Afghanistan verboten sei, sei er am (...) 2008 (A12 S. 5) festgenommen und über die Waffengeschäfte seines Vaters stundenlang verhört worden. Nach dem Verhör sei er in Untersuchungshaft gekommen. Nach einem Tag und der Hinterlegung einer Kaution sei er freigelassen worden. Nach seiner Ausreise am (...) 2008 habe die Polizei noch zwei bis drei Mal die Familie aufgesucht, da vermutet worden sei, der Beschwerdeführer halte sich versteckt. Die Mutter habe ihnen indes erklärt, dass er fortgegangen sei. Daraufhin seien sie nicht mehr gekommen. Dennoch glaube der Beschwerdeführer, er werde weiterhin gesucht, und dass sein Verfahren noch hängig sei.</w:t>
      </w:r>
    </w:p>
    <w:p>
      <w:r>
        <w:rPr>
          <w:b/>
        </w:rPr>
        <w:t>E. 5.2</w:t>
      </w:r>
    </w:p>
    <w:p>
      <w:r>
        <w:t>Begründete Furcht vor künftiger asylrelevanter Verfolgung liegt dann vor, wenn konkreter Anlass besteht anzunehmen, Letztere hätte sich - im Zeitpunkt der Ausreise - mit beachtlicher Wahrscheinlichkeit und in absehbarer Zeit verwirklicht bzw.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Benachteiligungen als wahrscheinlich und dementsprechend die Furcht davor als realistisch und nachvollziehbar erscheinen lassen (vgl. Entscheidungen und Mitteilungen der Schweizerischen Asylrekurskommission [EMARK] 2005 Nr. 21 E. 7.1 m.w.H.; Walter Kälin, Grundriss des Asylverfahrens, Basel/Frankfurt a.M. 1990, S. 143 ff.).</w:t>
      </w:r>
    </w:p>
    <w:p>
      <w:r>
        <w:rPr>
          <w:b/>
        </w:rPr>
        <w:t>E. 5.3</w:t>
      </w:r>
    </w:p>
    <w:p>
      <w:r>
        <w:t>Aus den Aussagen des Beschwerdeführers lässt sich herleiten, dass er sich aufgrund des Umstandes, dass sein Vater als Waffenhändler illegalerweise Waffen besessen habe, auch heute noch vor einer weiteren Festnahme fürchte. Den Angaben des Beschwerdeführers kann indes nicht entnommen werden, dass die Polizei - nachdem die Waffen des Vaters gefunden worden seien - aus rechtsstaatlicher Sicht willkürlich oder auf eine andere unkorrekte Weise gegen den Beschwerdeführer vorgegangen sei. Illegaler Waffenbesitz scheint auch in Afghanistan eine Strafe (Busse oder Freiheitsentzug) nach sich zu ziehen (A12 S. 8 f.) und erfordert daher eine polizeiliche Untersuchung, um später allenfalls ein Strafverfahren einzuleiten. Die Polizei hat gemäss Aussagen des Beschwerdeführers nach dem Tod dessen Vaters und dem Fund von Waffen in seinem Auto im Rahmen ihrer Ermittlungstätigkeit eine Hausdurchsuchung durchgeführt. Nachdem auch dort im Keller eine Waffe sichergestellt worden sei, habe die Polizei den Beschwerdeführer - wohl als ältesten Sohn der Familie - festgenommen und ihn zu dieser Angelegenheit ca. zwei Stunden befragt (A12 S. 7); man habe ihn indes nie geschlagen oder misshandelt (A12 S. 7). Danach sei er für einen Tag in Untersuchungshaft gekommen (A12 S. 6). Nach der Hinterlegung der Kaution - die Besitzurkunde des Hauses der Familie - sei er freigelassen worden (A12 S. 5 und 8). Nach vier Tagen sei er in den Iran ausgereist (A12 S. 5). Folglich stand zu diesem Zeitpunkt ein Ergebnis des Ermittlungsverfahrens noch aus. Nach seiner Ausreise habe die Polizei zwar noch zwei oder drei Mal die Familie aufgesucht, doch habe man sich lediglich nach dem Beschwerdeführer erkundigt; seine Mutter und seine Geschwister - er habe drei Schwestern und einen noch sehr jungen Bruder (A6 S. 5, A12 S. 2) - seien nicht festgenommen und verhört worden (A12 S. 4 und 9). Gemäss den Angaben des Beschwerdeführers habe eine solche Erkundigung das letzte Mal im Jahr 2008 stattgefunden (A12 S. 4). Nach der Mutter des Beschwerdeführers, zu der er auch heute noch Kontakt habe, werde die Lage in Afghanistan täglich schwieriger (A12 S. 3), indes sind keine Indizien sichtbar, die eine konkrete Gefahr für den Beschwerdeführer darstellen würden.</w:t>
      </w:r>
    </w:p>
    <w:p>
      <w:r>
        <w:rPr>
          <w:b/>
        </w:rPr>
        <w:t>E. 5.4</w:t>
      </w:r>
    </w:p>
    <w:p>
      <w:r>
        <w:t>Nach dem Gesagten sind die erlittenen Nachteile nicht als genügend intensiv zu werten, als dass sie eine künftige Verfolgungsfurcht begründen würden. Die Möglichkeit einer Fortsetzung des Verfahrens gegen den Beschwerdeführer bei seiner Rückkehr wird als klein eingeschätzt. Falls dem nicht so wäre, kann - aufgrund der Erfahrung des Beschwerdeführers bis anhin - davon ausgegangen werden, dieses werde aufgrund rechtsstaatlicher und strafrechtlich legitimer Prinzipien vonstattengehen. Folglich sind die Vorbringen i.S.v. Art. 3 AsylG als nicht asylrelevant zu qualifizieren. Das BFM hat demnach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Gemäss der aktuellen Rechtsprechung des Bundesverwaltungsgerichts ergibt eine Analyse der Lage in Afghanistan ein äusserst düsteres Bild. Experten sind sich einig, dass in diesem Land nach wie vor kriegerische Zustände herrschen (vgl. BVGE 2011/7 E. 9.7.4). Aber auch hinsichtlich der humanitären Situation muss von einem der ärmsten Länder ausgegangen werden, wobei erhebliche Unterschiede zwischen ländlichen und städtischen Gebieten ausgemacht wurden (vgl. BVGE 2011/7 E. 9.8). Angesichts des Umstandes, dass sich in Kabul die Sicherheitslage nicht dermassen verschlechtert hat, wie in anderen Gebieten, und die humanitäre Situation im Vergleich weniger dramatisch ist, ist der Vollzug der Wegweisung nach Kabul grundsätzlich als zumutbar zu erachten. Es gilt indes zu beachten, dass bezogen auf den Einzelfall begünstigende Umstände vorzuliegen haben. So muss für die Rückkehr eines jungen und gesunden Mannes ein tragfähiges soziales Netz vorhanden sein, das ihn bei der Heimkehr unterstützen könnte (vgl. BVGE 2011/7 E. 9.9.2).</w:t>
      </w:r>
    </w:p>
    <w:p>
      <w:r>
        <w:rPr>
          <w:b/>
        </w:rPr>
        <w:t>E. 7.3.2</w:t>
      </w:r>
    </w:p>
    <w:p>
      <w:r>
        <w:t>Der junge Beschwerdeführer hat seine Jugend in Kabul verbracht, wo seine Mutter, seine Geschwister sowie sein Onkel noch leben würden (A6 S. 5, A12 S. 2). Seine Familie sei nach wie vor im Eigentum eines Hauses (A12 S. 3), wo er nach seiner Rückkehr wieder heimkehren und Unterschlupf finden könnte. Er habe auch für vier Jahre die Primarschule in Kabul besucht und beherrsche neben seiner Muttersprache Dari auch die farsische Sprache (A6 S. 4). Zudem habe er vor seiner Ausreise für fünf Jahre bei seinem Onkel in Kabul als Schweisser gearbeitet (A6 S. 4, A12 S. 3) und kann - in Teheran habe er sich seinen Unterhalt als Bauarbeiter verdient (A6 S. 4) - auf weitere Berufserfahrungen zurückgreifen. Hinsichtlich seiner Gesundheit ist in den Akten nichts erkennbar, das gegen einen Wegweisungsvollzug sprechen würde.</w:t>
      </w:r>
    </w:p>
    <w:p>
      <w:r>
        <w:rPr>
          <w:b/>
        </w:rPr>
        <w:t>E. 7.3.3</w:t>
      </w:r>
    </w:p>
    <w:p>
      <w:r>
        <w:t>Zusammenfassend gilt festzuhalten, dass im vorliegenden Einzelfall die restriktiven Bedingungen hinsichtlich eines Wegweisungsvollzugs in die Hauptstadt von Afghanistan erfüllt sind, und dieser daher als zumutbar zu erachten ist.</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9.1 Der Beschwerdeführer ersuchte um Gewährung der unentgeltlichen Rechtspflege i.S.v. Art. 65 Abs. 1 und 2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 Folglich ist das Gesuch um Bestellung eines Anwaltes gemäss Art. 65 Abs. 2 VwVG mangels Erfüllung der Voraussetzungen von Art. 65 Abs. 1 VwVG ebenfalls abzuweisen. 9.2 Bei diesem Ausgang des Verfahrens sind die Kosten den Beschwerdeführenden aufzuerlegen (Art. 63 Abs. 1 VwVG) und auf insgesamt Fr. 600.- festzusetzen (Art. 1 - 3 des Reglements vom 21. Februar 2008 über die Kosten und Entschädigungen vor dem Bundesverwaltungsgericht [VGKE, SR 173.320.2]). 9.3 Mit dem Entscheid in der Hauptsache ist das Gesuch um Verzicht auf die Erhebung eines Kostenvorschusses gegenstandslos geworden.</w:t>
      </w:r>
    </w:p>
    <w:p>
      <w:r>
        <w:rPr>
          <w:b/>
        </w:rPr>
        <w:t>E. 10</w:t>
      </w:r>
    </w:p>
    <w:p>
      <w:r>
        <w:t>Hinsichtlich des Gesuchs, die Behörden hätten jegliche Kontaktaufnahme mit dem Heimatland und Datenweitergabe an dasselbe zu vermeiden, gilt festzuhalten, dass dieses mit vorliegendem Urteil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