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E-1485/2009 vom 5. Juli 2011</w:t>
      </w:r>
    </w:p>
    <w:p>
      <w:r>
        <w:t>Bundesverwaltungsgericht, 2011-07-05, DE</w:t>
      </w:r>
    </w:p>
    <w:p>
      <w:r>
        <w:rPr>
          <w:b/>
        </w:rPr>
        <w:t xml:space="preserve">Quelle: </w:t>
      </w:r>
      <w:r>
        <w:t>https://mcp.opencaselaw.ch/entscheid/bvger_E-1485_2009</w:t>
      </w:r>
    </w:p>
    <w:p>
      <w:r>
        <w:t>FR: TAF E-1485/2009 du 5 juillet 2011</w:t>
      </w:r>
    </w:p>
    <w:p>
      <w:r>
        <w:t>IT: TAF E-1485/2009 del 5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weder den Anforderungen an die Flüchtlingseigenschaft gemäss Art. 3 AsylG noch denjenigen an das Glaubhaftmachen gemäss Art. 7 AsylG standhielten. Zu Art. 3 AsylG führte das BFM aus, die vom Beschwerdeführer vorgebrachten Schikanen und Benachteiligungen durch die staatlichen Behörden in Bezug auf seine beruflichen Einschränkungen seien von ihrer Art und Intensität her nicht geeignet, eine Zwangslage in asylrechtlich relevantem Masse zu begründen. Gemäss seiner Darstellung sei ihm die Arbeitsbewilligung als (...) weder entzogen noch sei er mit einem Arbeitsverbot belegt worden, sondern habe seinen Lebensunterhalt weiterhin mit (...) oder als (...) verdienen können. Ebenso seien die Vorbringen in Bezug auf die Schikanen wegen der Tätigkeiten seines Grossvaters nicht geeignet, eine Zwangslage zu begründen, womit die vorgebrachten Benachteiligungen nicht asylrelevant seien. Darüber hinaus führte das BFM aus, die weiteren Vorbringen seien unsubstanziiert, widersprüchlich, realitätsfremd und nachgeschoben und damit unglaubhaft im Sinne von Art. 7 AsylG. So habe der Beschwerdeführer die von ihm in Aussicht gestellten Urteile bezüglich seines Freispruchs nicht zu den Akten gereicht, obwohl ihm diese schriftlich ausgehändigt worden seien (vgl. Akten BFM A13/22 S. 15). Auch seien seine Darlegungen in Bezug auf das zur Zeit gegen ihn hängige Verfahren wegen der vorgebrachten Bekanntschaft zu S. und des geltend gemachten Besitzes der CD's in wesentlichen Punkten zu wenig konkret ausgefallen und würden den Eindruck von nicht selbst Erlebtem erwecken. So habe er weder das zuständige Gericht nennen können noch habe er gewusst, ob deswegen bereits eine Gerichtsverhandlung stattgefunden habe oder nicht (vgl. A13/22 S. 18). Ferner habe sich der Beschwerdeführer betreffend die an seinen Vater überbrachten Vorladungen in Widersprüche verstrickt, indem er anlässlich der Befragung im Empfangszentrum eine Vorladung geltend gemacht habe, die seinem Vater während seines Aufenthalts in B._______ überbracht worden sei (vgl. A1/13 S. 8), um während der kantonalen Anhörung zu Protokoll zu geben, sein Vater habe mehrere Vorladungen erhalten (vgl. A13/22 S. 12, 15, 16). Des Weiteren sei nicht nachvollziehbar, weshalb dem Beschwerdeführer der Besitz von CD's politischen Inhalts während der beiden vorgebrachten nachfolgenden Gerichtsverhandlungen nicht zur Last gelegt worden sei, obwohl er aussagegemäss auch wegen Besitzes dieser Datenträger vorgeladen worden sei (vgl. A13/22 S. 12 und 15). Zudem sei nicht einsehbar, weshalb ihn die Behörden zu Hause per Haftbefehl gesucht hätten, obschon diese gewusst hätten, dass sich der Beschwerdeführer in B._______ aufgehalten habe (vgl. A13/22 S. 12 und 17). Schliesslich seien die Vorbringen des Beschwerdeführers zu den geltend gemachten Hausdurchsuchungen zweifelhaft ausgefallen. So habe er erst anlässlich der Anhörung angegeben, dass wiederholt Hausdurchsuchungen durchgeführt worden seien, hingegen im Rahmen der Befragung nicht.</w:t>
      </w:r>
    </w:p>
    <w:p>
      <w:r>
        <w:rPr>
          <w:b/>
        </w:rPr>
        <w:t>E. 4.2</w:t>
      </w:r>
    </w:p>
    <w:p>
      <w:r>
        <w:t>Um die Glaubhaftigkeit seiner Vorbringen zu erhärten liess der Beschwerdeführer auf Beschwerdeebene verschiedene fremdsprachige Dokumente zu den Akten reichen (vgl. Bst. C).</w:t>
      </w:r>
    </w:p>
    <w:p>
      <w:r>
        <w:rPr>
          <w:b/>
        </w:rPr>
        <w:t>E. 4.3</w:t>
      </w:r>
    </w:p>
    <w:p>
      <w:r>
        <w:t>Aus dem Botschaftsbericht vom 28. Oktober 2009 geht im Wesentlichen hervor, die Behauptung des Beschwerdeführers, die Behörden hätten ihm das Original seines Urteils wieder weggenommen, sei nicht tragbar, zumal es absolut keinen Grund gebe, dass ein Urteil zurückverlangt werde. Zu der Vorladung vom (...) (nach Dschal li-Kalender: [...]) wurde ausgeführt, dass sich diese auf das Gerichtsurteil zugunsten des Beschwerdeführers beziehe. Darin werde ausdrücklich aufgeführt, dass die Gegenpartei gegen dieses Urteil Berufung eingelegt habe und er in dieser Angelegenheit am (...) vor dem Berufungsgericht von F._______ zur Anhörung hätte erscheinen müssen. Vor diesem Hintergrund sei offenkundig, dass der Beschwerdeführer im Besitze des genannten Urteils sei, diese Tatsache aber den Schweizer Behörden vorenthalte. Was ferner das am (...) (nach Dschal li-Kalender: [...]) zugestellte Mahnblatt anbelange, so sei festzustellen, dass sich dieses - auch bei Wahrunterstellung - mit Sicherheit nicht auf den vorliegenden Fall beziehe, zumal es mit dem Gegenstand beider Vorladungen absolut nichts zu tun habe. Dieses Dokument beziehe sich vielmehr auf ein endgültiges Urteil, während sich die beiden Vorladungen auf Verfahren beziehen würden, gegen welche Berufung erhoben worden und Monate nach dem Ausstellungsdatum der Mitteilung vor Gericht noch anhängig gewesen seien.</w:t>
      </w:r>
    </w:p>
    <w:p>
      <w:r>
        <w:rPr>
          <w:b/>
        </w:rPr>
        <w:t>E. 4.4</w:t>
      </w:r>
    </w:p>
    <w:p>
      <w:r>
        <w:t>In seiner Replik vom 27. November 2009 führte der Beschwerdeführer zusammenfassend aus, der Abklärungsbericht der iranischen Vertrauensperson erwecke den Eindruck, dass diese den vorliegenden Sachverhalt nicht habe nachvollziehen können oder wollen. So habe die Teheraner Vertretung die ihr vom BFM konkret gestellten Fragen nicht beantwortet, sondern vielmehr den bereits bekannten und vom Beschwerdeführer nicht bestrittenen Sachverhalt wiederholt. Darüber hinaus seien die Behauptungen der Vertrauensperson offensichtlich weltfremd, zumal er das zu seinen Gunsten ergangene Urteil vom (...) auf Beschwerdeebene eingereicht habe. Damit sei die diesbezügliche Behauptung der Vertrauensperson falsch. Zudem sei dieses Urteil eine gerichtliche Ausfertigung für den Beschwerdeführer, was bedeute, dass es dem Bundesverwaltungsgericht im Original vorliege, da das Gericht mit dem Stempel die Übereinstimmung des Originals mit der Gerichtskopie bezeuge. Was den Vorwurf der Rückgabe der Vorladungen anbelange, sei zu erwähnen, dass die Vorladungen jeweils seinem Vater zugestellt worden seien, dieser jedoch die Annahme verweigert habe, weil er nach iranischem Brauch mit seiner Unterschrift die Verantwortung für das Erscheinen seines Sohnes vor Gericht hätte übernehmen müssen. An die entsprechenden Kopien der Vorladungen sei sein Vater über einen Kollegen, der beim Gericht arbeite, gelangt. Ferner sei unklar, wie die Vertrauensperson dazu komme, dass die Vorladung vom (...) nicht in einem sachlichen Zusammenhang zu den Vorladungen vom (...) (nach Dschal li-Kalender: [...]) und vom (...) (nach Dschal li-Kalender: [...]) stehen sollten. Daraus gehe nämlich eindeutig hervor, dass bei Nichterscheinen des Sohnes die hinterlegte Kaution beschlagnahmt werde.</w:t>
      </w:r>
    </w:p>
    <w:p>
      <w:r>
        <w:rPr>
          <w:b/>
        </w:rPr>
        <w:t>E. 5.1.1</w:t>
      </w:r>
    </w:p>
    <w:p>
      <w:r>
        <w:t>Eine Prüfung der vorliegenden Akten lässt das Bundesverwaltungsgericht zum Schluss kommen, dass das BFM zu Recht und mit zutreffender, Begründung davon ausgeht, die vorgebrachten Benachteiligung von Seiten der Behörden seien von ihrer Art und Intensität her nicht geeignet, um eine Zwangslage in asylrelevantem Sinne zu begründen, weshalb seine vorgebrachten Benachteiligung wegen der beruflichen Einschränkungen als (...) und (...) von (...) und (...) einerseits sowie wegen seines Familiennamens andererseits nicht asylrelevant im Sinne des Asylgesetzes seien. Mit diesen vorinstanzlichen Erwägungen setzte sich der Beschwerdeführer weder in seiner Rechtsmitteileingabe noch in seiner Replik auseinander, woraus zu schliessen ist, er gehe in diesem Punkt mit den vorinstanzlichen Erwägungen einig.</w:t>
      </w:r>
    </w:p>
    <w:p>
      <w:r>
        <w:rPr>
          <w:b/>
        </w:rPr>
        <w:t>E. 5.1.2</w:t>
      </w:r>
    </w:p>
    <w:p>
      <w:r>
        <w:t>Damit bleibt vorliegend zu prüfen, ob die vorgetragenen Fluchtumstände, die zum Entschluss seiner Ausreise aus dem Heimatstaat geführt haben, gesamthaft als glaubhaft gemacht zu erachten sind. Grundsätzlich sind die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(Entscheidungen und Mitteilungen der Schweizerischen Asylrekurskommission [ARK;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Das BFM führte in seiner Verfügung zu Recht aus, dass die Vorbringen des Beschwerdeführers zu den behördlichen Verfolgungsmassnahmen und Hausdurchsuchungen sowie deren Vorgehen in mehrfacher Hinsicht Ungereimtheiten enthalten, so dass zunächst auf die entsprechenden Erwägungen verwiesen werden kann. Insbesondere ist nicht einsehbar, dass Gegenstand der ersten und zweiten Gerichtsverhandlung einzig die aussereheliche Beziehung zu S. gewesen sein soll, obwohl die iranischen Sicherheitskräfte die besagten elf CD's bereits im Rahmen seiner Festnahme am 23. September 2007 (nach Dschal li-Kalender: 1. Mehr 1386) in seinem Geschäft konfisziert hätten (vgl. A13/22 S. 12 und S. 15); dies insbesondere auch, weil die iranischen Behörden im Allgemeinen in aller Härte gegen regimekritische Personen vorgehen. Abgesehen davon zeigt der erstinstanzliche Freispruch klar, dass der Beschwerdeführer zu diesem Zeitpunkt keinen asylrelevanten Verfolgungsmassnahmen ausgesetzt gewesen war, was durch den zweiten Freispruch nach der Klage des Ehemannes von S. vom zweitinstanzlichen Provinzgericht F._______ noch zusätzlich bekräftig wird (vgl. A13/22 S. 12 und S. 15, sowie Beilage 1). Bei dieser Sachlage liegen offensichtlich keine Anhaltspunkte für die Annahme vor, dass an der Rechtsstaatlichkeit dieser Verfahren zu zweifeln wäre. Es wird damit vielmehr aufgezeigt, dass von der grundsätzlichen Schutzfähigkeit des iranischen Staates auszugehen ist. Darüber hinaus führt ein von Dritten (in casu Ehemann von S.) allenfalls auch zu Unrecht eingeleitetes Gerichtsverfahren grundsätzlich nicht zur Asylgewährung. Abgesehen davon fällt auf, dass die Datumsangabe auf der beglaubigten Kopie des Urteils des öffentlichen Gerichts der Stadt E._______ zeitlich nicht mit den Angaben des Beschwerdeführers in Einklang zu bringen ist. So gab dieser anlässlich der Befragung vom 14. November 2008 zu Protokoll, die Hauptverhandlung habe am 23. September 2007 (nach Dschal li-Kalender: 1. Mehr 1386), zehn Tage nach seiner Verhaftung, stattgefunden, woraufhin er um 14 Uhr diesen Tages freigelassen worden sei (vgl. A1/13 S. 9). Bei der Anhörung vom 15. Dezember 2008 gab er demgegenüber zu Protokoll, er sei am 23. September 2007 verhaftet worden und zehn Tage später habe er vor dem Richter erscheinen müssen (vgl. A13/22 S. 15). Das Urteil des Gerichts E._______ hingegen datiert vom (...) (nach Dschal li-Kalender: [...]). Was sodann die Vorbringen des Beschwerdeführers zu dem ergangenen Haftbefehl anbelangt, ist nicht einsehbar, weshalb ihn die iranischen Behörden nicht hätten verhaften sollen, wenn sie - wie vom Beschwerdeführer vorgebracht - gewusst haben, dass er sich in B._______ aufhalte. An dieser Stelle ist zu erwähnen, dass der Beschwerdeführer bezeichnenderweise keine beweistauglichen Dokumente zum angeblich noch hängigen Verfahren vor dem landesobersten Gericht wegen der ausserehelichen Beziehung und der CD's zu den Akten reichte. Bei seinen ins Recht gelegten Vorladungen und der Aufforderung an den Vater handelt es sich um nicht verifizierbare Fotokopien, deren Beweiswert als gering einzustufen ist. Es ist zudem notorisch, dass im Iran unter anderem Dokumente und Formulare aller Art sowie jegliche Stempel ohne Weiteres gegen entsprechende Bezahlung erhältlich gemacht werden können. Gegen die Beweistauglichkeit der beiden Vorladungen spricht auch der Umstand, dass der Vater des Beschwerdeführers diese über einen Kollegen, der beim Gericht arbeite, erlangt haben soll. Es ist aber schwer nachvollziehbar, dass sich Gerichtsbeamte einem derart hohen Risiko aussetzen würden, Gerichtsdokumente zu kopieren und an Dritte weiterzugeben, da diese selbst mit grossen Nachteilen zu rechnen hätten. Diesbezüglich ist weiter festzustellen, dass die Vorladungen mit den protokollierten Aussagen des Beschwerdeführers nicht vereinbar sind. Die erste Vorladung des Hauptjustizamtes von F._______ wurde nämlich am (...) für den (...) ausgestellt und kann nicht - wie vom Beschwerdeführers behauptet - Mitte Chord d (Mai/Juni) gebracht worden sein (vgl. A13/22 S. 16 und Beilage 2). Ebenso verhält es sich mit der zweiten Vorladung, die nicht wie von ihm angegeben im Monat Tir (Juni/Juli) ausgestellt werden konnte (vgl. A13/22 S. 16 und Beilage 3), zumal sie gemäss dem eingereichten Dokument am (...) für den (...) (nach Dschal li-Kalender: [...]) ausgestellt und von Oberleutnant H._______ am 4. Januar 2009 unterzeichnet und datiert worden ist (vgl. die entsprechenden Vorladungen [Beilagen 2 und 3] bei den Akten). Ferner bezieht sich das in Kopie ins Recht gelegte Mahnblatt vom (...) (nach Dschal li-Kalender: [...]) auf die Kautionshinterlegung (in Form der Besitzurkunde seines Hauses; vgl. Mahnblatt vom (...); A13/22 S. 12 und Beilage 4) des Vaters. Daraus ist zu schliessen, dass dieses an den Vater persönlich adressiert gewesen und dieser der Vorladung gefolgt sein musste, ansonsten er den Besitz an seinem Haus verloren hätte. Insgesamt sind der Rechtsmitteleingabe sowie der Replik somit keine stichhaltigen Entgegnungen zu entnehmen, weshalb auf die weiteren Vorbingen nicht einzugehen ist.</w:t>
      </w:r>
    </w:p>
    <w:p>
      <w:r>
        <w:rPr>
          <w:b/>
        </w:rPr>
        <w:t>E. 5.2</w:t>
      </w:r>
    </w:p>
    <w:p>
      <w:r>
        <w:t>Zusammenfassend ist festzuhalten, dass es dem Beschwerdeführer nicht gelungen ist, eine bestehende oder unmittelbar drohende asylrelevante Verfolgungsgefahr nachzuweisen oder glaubhaft zu machen. Unter diesen Umständen erübrigen sich weitere Ausführungen zu den Beschwerdevorbringen sowie den im Beschwerdeverfahren eingereichten Beweismitteln. Somit hat die Vorinstanz im Ergebnis zu Recht das Asylgesuch des Beschwerdeführers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i.V.m. Art. 32 der Asylverordnung 1 über Verfahrensfragen [AsylV1 SR 142.311]; BVGE 2009/50 E. 9 S. 733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 Gefährdung nachzuweisen oder glaubhaft zu machen, kann das in Art. 5 AsylG und Art. 33 FK verankerte Prinzip des flüchtlingsrechtlichen Rückschiebungsverbots vorliegend nicht zur Anwendung gelangen. Der Vollzug der Wegweisung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humanitären Gründen, nicht in Erfüllung völkerrechtlicher Pflichten der Schweiz, wird auf den Vollzug der Wegweisung verzichtet, wenn die Rückkehr in den Heimatstaat für den Betroffenen eine konkrete Gefährdung im Sinne von Art. 83 Abs. 4 AuG darstellt.</w:t>
      </w:r>
    </w:p>
    <w:p>
      <w:r>
        <w:rPr>
          <w:b/>
        </w:rPr>
        <w:t>E. 7.5</w:t>
      </w:r>
    </w:p>
    <w:p>
      <w:r>
        <w:t>Im Iran besteht keine Situation allgemeiner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7.6</w:t>
      </w:r>
    </w:p>
    <w:p>
      <w:r>
        <w:t>Aufgrund der Aktenlage besteht ferner kein Grund zur Annahme, der Beschwerdeführer gerate im Falle einer Rückkehr in den Iran aus individuellen Gründen wirtschaftlicher, sozialer oder gesundheitlicher Natur in eine existenzbedrohende Situation, welche den Vollzug der Wegweisung als unzumutbar erscheinen liesse. Der Beschwerdeführer verfügt mit einem Gymnasiumabschluss sowie Weiterbildungen als (...) und (...) über eine überdurchschnittliche Ausbildung. Zudem weist er mehrjährige Berufserfahrung als (...) und (...) auf und führte ein eigenes Geschäft (vgl. A1/13 S. 4). Darüber hinaus verfügt er mit seiner Familie (Mutter, Vater, Stiefmutter Schwester, Halbschwester), über ein intaktes Beziehungsnetz, auf das er zurückgreifen kann (vgl. A1/13, S. 5; A13/22, S. 5).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(Art. 8 Abs. 4 AsylG) und dazu auch BVGE 2008/34 E. 12 S. 513 f.),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1 - 4 AuG).</w:t>
      </w:r>
    </w:p>
    <w:p>
      <w:r>
        <w:rPr>
          <w:b/>
        </w:rPr>
        <w:t>E. 9</w:t>
      </w:r>
    </w:p>
    <w:p>
      <w:r>
        <w:t>Bei diesem Ausgang des Verfahrens wären die Kosten dem Beschwerdeführer aufzuerlegen (Art. 63 Abs. 1 und 5 VwvG) und auf insgesamt Fr. 600.- festzusetzen (Art. 1 - 3 des Reglements vom 21. Februar 2008 über die Kosten und Entschädigungen vor dem Bundesverwaltungsgericht [VGKE, SR 173.320.2]). Nachdem die Bedürftigkeit des Beschwerdeführers ausgewiesen ist und das Verfahren nicht als aussichtslos zu bezeichnen war, ist das Gesuch um Gewährung der unentgeltlichen Rechtspflege, über welches bisher nicht entschieden worden ist,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