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E-1484/2009 vom 12. Januar 2010</w:t>
      </w:r>
    </w:p>
    <w:p>
      <w:r>
        <w:t>Bundesverwaltungsgericht, 2010-01-12, DE</w:t>
      </w:r>
    </w:p>
    <w:p>
      <w:r>
        <w:rPr>
          <w:b/>
        </w:rPr>
        <w:t xml:space="preserve">Quelle: </w:t>
      </w:r>
      <w:r>
        <w:t>https://mcp.opencaselaw.ch/entscheid/bvger_E-1484_2009</w:t>
      </w:r>
    </w:p>
    <w:p>
      <w:r>
        <w:t>FR: TAF E-1484/2009 du 12 janvier 2010</w:t>
      </w:r>
    </w:p>
    <w:p>
      <w:r>
        <w:t>IT: TAF E-1484/2009 del 12 gennaio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am 17. April 2009 geleisteten Kostenvorschuss in gleicher Höhe verrechnet.</w:t>
      </w:r>
    </w:p>
    <w:p>
      <w:r>
        <w:rPr>
          <w:b/>
        </w:rPr>
        <w:t>E. 3</w:t>
      </w:r>
    </w:p>
    <w:p>
      <w:r>
        <w:t>Dieses Urteil geht an den Beschwerdeführer, das BFM und die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