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E-1483/2025 vom 13. März 2025</w:t>
      </w:r>
    </w:p>
    <w:p>
      <w:r>
        <w:t>Bundesverwaltungsgericht, 2025-03-13, FR</w:t>
      </w:r>
    </w:p>
    <w:p>
      <w:r>
        <w:rPr>
          <w:b/>
        </w:rPr>
        <w:t xml:space="preserve">Quelle: </w:t>
      </w:r>
      <w:r>
        <w:t>https://mcp.opencaselaw.ch/entscheid/bvger_E-1483_2025</w:t>
      </w:r>
    </w:p>
    <w:p>
      <w:r>
        <w:t>FR: TAF E-1483/2025 du 13 mars 2025</w:t>
      </w:r>
    </w:p>
    <w:p>
      <w:r>
        <w:t>IT: TAF E-1483/2025 del 13 marzo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février 2025, Q. 6-11), qu’à cet égard, il pourra assurément compter, à tout le moins provisoirement, sur le soutien des membres de sa famille restés en Algérie et avec lesquels il a gardé le contact, en particulier ses parents, qui subvenaient d’ailleurs déjà à ses besoins avant son départ du pays (cf. idem, Q. 12-15), que l'exécution du renvoi est enfin possible (cf. art. 83 al. 2 LEI ; ATAF 2008/34 consid. 12 et jurisp. cit.), le recourant étant tenu de collaborer à l'obtention de documents de voyage lui permettant de</w:t>
      </w:r>
    </w:p>
    <w:p>
      <w:r>
        <w:t>E-1483/2025 Page 9 retourner dans son pays d'origine (cf. art. 8 al. 4 LAsi), ce qui n’est d’ailleurs pas contesté, qu'en conséquence, le recours doit être intégralement rejeté, que s'avérant manifestement infondé, il l'est dans une procédure à juge unique, avec l'approbation d'un second juge (cf. art. 111 let. e LAsi), qu'il est dès lors renoncé à un échange d'écritures, le présent arrêt n'étant motivé que sommairement (cf. art. 111a al. 1 et 2 LAsi), que dans la mesure où il est immédiatement statué sur le fond, la requête tendant à la dispense du versement d'une avance de frais est sans objet, que les conclusions du recours paraissaient d’emblée vouées à l’échec, de sorte que le demande d’assistance judiciaire totale doit être rejetée, une des conditions cumulatives de l’art. 65 al. 1 PA (en lien avec l’art. 102m al. 1 LAsi) n’étant pas réalisée, que vu l'issue de la cause, il y a donc lieu de mettre les frais de procédure à la charge de l’intéressé, conformément aux art. 63 al. 1 PA ainsi que 2 et 3 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E-1483/2025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