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E-1479/2023 vom 23. März 2023</w:t>
      </w:r>
    </w:p>
    <w:p>
      <w:r>
        <w:t>Bundesverwaltungsgericht, 2023-03-23, FR</w:t>
      </w:r>
    </w:p>
    <w:p>
      <w:r>
        <w:rPr>
          <w:b/>
        </w:rPr>
        <w:t xml:space="preserve">Quelle: </w:t>
      </w:r>
      <w:r>
        <w:t>https://mcp.opencaselaw.ch/entscheid/bvger_E-1479_2023</w:t>
      </w:r>
    </w:p>
    <w:p>
      <w:r>
        <w:t>FR: TAF E-1479/2023 du 23 mars 2023</w:t>
      </w:r>
    </w:p>
    <w:p>
      <w:r>
        <w:t>IT: TAF E-1479/2023 del 23 marzo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7 mars 2023 est annulée et la cause renvoyée au SEM pour instruction complémentaire et nouvelle décision au sens des considérants.</w:t>
      </w:r>
    </w:p>
    <w:p>
      <w:r>
        <w:rPr>
          <w:b/>
        </w:rPr>
        <w:t>E. 3</w:t>
      </w:r>
    </w:p>
    <w:p>
      <w:r>
        <w:t>Il est statué sans frais et il n'est pas alloué de dépens.</w:t>
      </w:r>
    </w:p>
    <w:p>
      <w:r>
        <w:rPr>
          <w:b/>
        </w:rPr>
        <w:t>E. 4</w:t>
      </w:r>
    </w:p>
    <w:p>
      <w:r>
        <w:t>Le présent arrêt est adressé à la mandataire des recourants,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