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E-1479/2017 vom 9. Mai 2017</w:t>
      </w:r>
    </w:p>
    <w:p>
      <w:r>
        <w:t>Bundesverwaltungsgericht, 2017-05-09, DE</w:t>
      </w:r>
    </w:p>
    <w:p>
      <w:r>
        <w:rPr>
          <w:b/>
        </w:rPr>
        <w:t xml:space="preserve">Quelle: </w:t>
      </w:r>
      <w:r>
        <w:t>https://mcp.opencaselaw.ch/entscheid/bvger_E-1479_2017</w:t>
      </w:r>
    </w:p>
    <w:p>
      <w:r>
        <w:t>FR: TAF E-1479/2017 du 9 mai 2017</w:t>
      </w:r>
    </w:p>
    <w:p>
      <w:r>
        <w:t>IT: TAF E-1479/2017 del 9 maggio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AslyG).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2015/3 E. 6.5.1 mit Verweisen).</w:t>
      </w:r>
    </w:p>
    <w:p>
      <w:r>
        <w:rPr>
          <w:b/>
        </w:rPr>
        <w:t>E. 4.1</w:t>
      </w:r>
    </w:p>
    <w:p>
      <w:r>
        <w:t>Die Vorinstanz begründet ihre Verfügung damit, die Aussagen des Beschwerdeführers seien voller Widersprüche. Er habe unterschiedliche Angaben zum Todesjahr seines Vaters, zu den Namen seines Onkels und seines Stiefvaters, zum Grund, weshalb er Mogadischu verlassen habe, sowie zu den Diskriminierungen aufgrund seiner Clanzugehörigkeit gemacht. Zudem sei zweifelhaft, ob er einem Minderheitenclan angehöre. Er habe an der Befragung keine Clanfamilie angegeben und seine Kenntnisse über den Clan seien spärlich gewesen. Es sei nicht plausibel, wieso der Schwiegervater ihn finanziell unterstützt und bei sich wohnen gelassen habe, aber ihm gleichzeitig mit dem Tod gedroht haben soll, weil er sich vor ihm gefürchtet habe. Ausserdem habe der Beschwerdeführer die Todesdrohung des Stiefvaters und den Gefängnisaufenthalt erst anlässlich der Anhörung vage und unsubstantiiert erwähnt. Insgesamt seien seine Vorbringen als unglaubhaft einzustufen.</w:t>
      </w:r>
    </w:p>
    <w:p>
      <w:r>
        <w:rPr>
          <w:b/>
        </w:rPr>
        <w:t>E. 4.2</w:t>
      </w:r>
    </w:p>
    <w:p>
      <w:r>
        <w:t>Der Beschwerdeführer bringt in der Rechtsmitteleingabe vor, das an der Anhörung genannte Todesjahr seines Vaters stimme. An der Befragung sei er verwirrt gewesen, weshalb er die Jahreszahlen und die Namen seines Onkels und dessen Sohns verwechselt habe. An der Befragung habe er verneint, jemals in Haft gewesen zu sein, weil er nicht an den unbegründeten Gefängnisaufenthalt gedacht habe. Wegen des frühen Todes seines Vaters wisse er nicht viel über seinen Clan. Bei den genannten Namen seines Stiefvaters handle es sich um dessen Vor- und Nachnamen. Die Todesdrohung seitens des Stiefvaters habe er aufgrund der Kürze der Befragung erst an der Anhörung nennen können. Dessen finanzielle Unterstützung sei kein Hinweis auf ein gutes Verhältnis zwischen ihnen. Die Diskriminierung aufgrund seiner Zugehörigkeit zu einem Minderheitenclan und die Todesdrohung durch den Stiefvater seien asylrelevant.</w:t>
      </w:r>
    </w:p>
    <w:p>
      <w:r>
        <w:rPr>
          <w:b/>
        </w:rPr>
        <w:t>E. 4.3</w:t>
      </w:r>
    </w:p>
    <w:p>
      <w:r>
        <w:t>Der Beschwerdeführer hat erstmals an der Anhörung angegeben, dass er vom Stiefvater mit dem Tod bedroht und aufgrund seiner Clanzugehörigkeit geschlagen worden sei sowie drei Tage im Gefängnis inhaftiert gewesen sei. Seine Begründung, er habe wegen der Kürze der Befragung nicht alle Asylgründe genannt, vermag nicht zu überzeugen. Zwar ist die Befragung kurz, aber der Beschwerdeführer wurde mehrmals nach seinen Asylgründen gefragt. Dass er es dennoch unterlassen hat, die obgenannten Vorfälle zu erwähnen, lässt bereits die Vermutung aufkommen, dass sie lediglich eine Anpassung des Sachverhalts sind. Die widersprüchlichen Angaben des Beschwerdeführers bestätigen diese Vermutung. Wie die Vorinstanz zutreffend ausführte, machte der Beschwerdeführer unterschiedliche Angaben zu seiner Clanzugehörigkeit und zum Todesjahr seines Vaters. An der Befragung und der Anhörung gab er weder den Namen des Onkels noch jenen des Stiefvaters einheitlich an. Seine Erklärung, er habe den Namen des Onkels mit jenem von dessen Sohn verwechselt, ist in Anbetracht der Tatsache, dass er zwei Jahre beim Onkel gelebt hat, nicht nachvollziehbar. Ebenso wenig plausibel ist seine Erklärung für die unterschiedlichen Angaben zum Namen seines Stiefvaters, wonach er an der Befragung den Nachnamen "Abdillahi" und an der Anhörung die Vornamen "Mohammed Mohamud" genannt habe. An der Anhörung gab er nämlich auf den Hinweis, bei der Befragung habe er den Namen "Abdillahi" genannt, zu Protokoll "Nein, er heisst Mohammed Mohamud". Die widersprüchlichen Angaben begründete der Beschwerdeführer mit dem pauschalen Hinweis, er sei an der Befragung verwirrt gewesen. Bei der Befragung gab der Beschwerdeführer zwar zu Protokoll, er fühle sich müde und habe einen Hautausschlag, dies ist indes keine ausreichende Erklärung dafür, dass einfachste Angaben wie das Todesjahr seines Vaters oder Namensangaben nicht korrekt ausfielen. Auf die Aufforderung an der Anhörung, einen Vorfall, bei welchem er von Mitgliedern eines Mehrheitenclans geschlagen worden sei, genauer zu schildern, verstrickte sich der Beschwerdeführer in Widersprüche. Zudem soll er deswegen drei Tage im Gefängnis verbracht haben, obwohl er bei der Befragung verneinte, jemals im Gefängnis oder in Haft gewesen zu sein. Seine Erklärung, er habe den Gefängnisaufenthalt nicht angegeben, weil er unbegründet gewesen sei, ist nicht nachvollziehbar. Hinsichtlich des nur vage geschilderten Vorfalls der Todesdrohung durch den Stiefvater kann auf die zutreffenden Ausführungen in der vorinstanzlichen Verfügung verwiesen werden. Dem Beschwerdeführer ist es somit nicht gelungen, eine asylrelevante Verfolgung glaubhaft darzulegen.</w:t>
      </w:r>
    </w:p>
    <w:p>
      <w:r>
        <w:rPr>
          <w:b/>
        </w:rPr>
        <w:t>E. 5</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Somalia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Der Beschwerdeführer kommt aus der Stadt B._______, welche im Somaliland liegt. Gemäss Rechtsprechung des Bundesverwaltungsgerichts ist der Wegweisungsvollzug nach Somliland nicht als generell unzumutbar zu erachten. Die "Republik Somaliland" ist zwar international nicht anerkannt, besitzt aber eine in weiten Landesteilen institutionalisierte Staatsgewalt mit zentraler Regierung sowie Verwaltung, Rechtsprechung und lokaler Polizei. Damit bestehen Strukturen, die mit denjenigen eines etablierten Staates gleichgesetzt werden können. Die Zivilgesellschaft bringt sich zudem aktiv ins politische Geschehen ein. Sodann ist die Sicherheitslage in den zentralen sowie westlichen Teilen Somalilands - im Gegensatz zu Zentral- und Südsomalia - seit Jahren stabil (vgl. Urteil des BVGer E-2419/2016 vom 2. Mai 2016 E. 5.3.2). Das Vorbringen des Beschwerdeführers, er habe einen Teil seines Lebens in Mogadischu verbracht, trifft zwar zu, ändert aber nichts daran, dass er den grössten Teil seines Lebens, namentlich die prägenden Jugendjahre (2003-2012) mit seiner Mutter in B._______ verbrachte. Danach wohnte er zwar zwischenzeitlich bei seinem Onkel in Mogadischu, lebte aber vor der Ausreise wieder in B._______ bei seiner Mutter und seinem Stiefvater. Diese sind auch für seinen Unterhalt aufgekommen. Da die Todesdrohung seitens des Stiefvaters als unglaubhaft eingestuft worden ist, ist davon auszugehen, dass er sich nach seiner Rückkehr mit familiärer Unterstützung in sein bisheriges soziales Umfeld reintegriert kann. Zudem ist der Beschwerdeführer jung und hat die Möglichkeit, individuelle Rückkehrhilfe (vgl. Art. 73 ff. AsylG) zu beantragen, was ihm gegebenenfalls die wirtschaftliche Wiedereingliederung in Somaliland erleichtern könnte. Es besteht somit kein Anlass zur Annahme, er würde durch den Wegweisungsvollzug einer existenzgefährdenden Situation ausgesetzt werden. Auch medizinische Gründe stehen dem Vollzug der Wegweisung nicht im Weg, da es sich bei den dokumentierten gesundheitlichen Beschwerden um Bagatellen handelt. Die Vorinstanz hat den Vollzug der Wegweisung somit zu Recht für zumutbar erachtet.</w:t>
      </w:r>
    </w:p>
    <w:p>
      <w:r>
        <w:rPr>
          <w:b/>
        </w:rPr>
        <w:t>E. 6.4</w:t>
      </w:r>
    </w:p>
    <w:p>
      <w:r>
        <w:t>Nach Art. 83 Abs. 2 AuG ist der Vollzug auch als möglich zu bezeichnen, weil es dem Beschwerdeführer obliegt, sich bei der zuständigen Vertretung seines Heimatstaats die für seine Rückkehr notwendigen Reisedokumente zu beschaffen (Art. 8 Abs. 4 AslyG; BVGE 2008/34 E. 12).</w:t>
      </w:r>
    </w:p>
    <w:p>
      <w:r>
        <w:rPr>
          <w:b/>
        </w:rPr>
        <w:t>E. 7</w:t>
      </w:r>
    </w:p>
    <w:p>
      <w:r>
        <w:t>Aus den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die Gesuche um unentgeltliche Rechtspflege und Beiordnung eines Rechtsbeistandes ungeachtet einer allfälligen prozessualen Bedürftigkeit abzuweisen sind (Art. 65 Abs. 1 VwVG und Art. 110a Abs. 1 Bst. a AsylG).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