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E-1472/2015 vom 20. August 2015</w:t>
      </w:r>
    </w:p>
    <w:p>
      <w:r>
        <w:t>Bundesverwaltungsgericht, 2015-08-20, DE</w:t>
      </w:r>
    </w:p>
    <w:p>
      <w:r>
        <w:rPr>
          <w:b/>
        </w:rPr>
        <w:t xml:space="preserve">Quelle: </w:t>
      </w:r>
      <w:r>
        <w:t>https://mcp.opencaselaw.ch/entscheid/bvger_E-1472_2015</w:t>
      </w:r>
    </w:p>
    <w:p>
      <w:r>
        <w:t>FR: TAF E-1472/2015 du 20 août 2015</w:t>
      </w:r>
    </w:p>
    <w:p>
      <w:r>
        <w:t>IT: TAF E-1472/2015 del 20 agosto 2015</w:t>
      </w:r>
    </w:p>
    <w:p>
      <w:pPr>
        <w:pStyle w:val="Heading2"/>
      </w:pPr>
      <w:r>
        <w:t>Regeste</w:t>
      </w:r>
    </w:p>
    <w:p>
      <w:r>
        <w:t>Asylverfahren (Übriges)</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Art. 83 Bst. d Ziff. 1 BGG). Als Verfügungsadressatin ist die Beschwerdeführerin beschwerdelegitimiert. Auf die frist- und formgerecht eingereichte Beschwerde ist einzutreten (Art. 105 und 108 Abs. 1 AsylG [SR 142.31]); Art. 48 Abs. 1 sowie Art. 52 Abs. 1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Beschwerdeführerin ficht die Ablehnung ihres Asylgesuchs sowie die Wegweisung als solche nicht an. Sie beschränkt den Prozessgegenstand auf die Frage, ob sie aufgrund subjektiver Nachfluchtgründe infolge illegaler Ausreise die Flüchtlingseigenschaft erfüllt. Die Abweisung des Asylgesuchs ist unangefochten in Rechtskraft erwachsen und die Wegweisung als solche ist auch nicht zu überprüfen.</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Gemäss Art. 54 AsylG wird Flüchtlingen kein Asyl gewährt, wenn sie erst durch ihre Ausreise aus dem Heimat- oder Herkunftsstaat oder wegen ihres Verhaltens nach der Ausreise Flüchtlinge im Sinne von Art. 3 AsylG geworden sind (subjektive Nachfluchtgründe). Wer subjektive Nachfluchtgründe geltend macht, muss diese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Vorinstanz hielt die vorgebrachte Minderjährigkeit der Beschwerdeführerin bei ihrer Ankunft im EVZ - dort hatte sie angegeben, siebzehn Jahre alt zu sein - aufgrund ihres Aussehens, Auftretens und wegen der unsubstanziierten und widersprüchlichen Angaben zu ihrer Biografie für unglaubhaft und registrierte sie für den weiteren Verlauf des Asylverfahrens als volljährige Person. Das Asylvorbringen hielt die Vorinstanz wegen widersprüchlicher Angaben und weiterer Ungereimtheiten für unglaubhaft. So hätten ihre Aussagen anlässlich der Befragungen in Widerspruch gestanden zum Asylgesuch, welches ihr Onkel über seinen Rechtsvertreter am 12. April 2012 für sie und ihre Schwester eingereicht habe. Ihre Angaben widersprächen ausserdem auch denjenigen ihrer Schwester. Darüber hinaus seien ihre Schilderungen unsubstanziiert und entbehrten jeglicher Realkennzeichen. Der abgegebene Flüchtlingsausweis sei von geringem Beweiswert, da solche Ausweispapiere leicht fälschbar und käuflich erwerbbar seien. Die Überprüfung seines Inhalts sei schwierig.</w:t>
      </w:r>
    </w:p>
    <w:p>
      <w:r>
        <w:rPr>
          <w:b/>
        </w:rPr>
        <w:t>E. 7</w:t>
      </w:r>
    </w:p>
    <w:p>
      <w:r>
        <w:t>Aufgrund der Akten stimmt das Gericht der Vorinstanz darin zu, dass die Vorbringen der Beschwerdeführerin (sowohl die vorgebrachten Asylgründe als die im EVZ geltend gemachte damalige Minderjährigkeit) unglaubhaft sind. Ihre Angaben in den Protokollen sind vage, unsubstanziiert und ausweichend. Entgegen der Beschwerde gelingt es ihr dort nicht, die von der Vorinstanz monierten Widersprüche aufzulösen. Selbst wenn man ihren unplausiblen Erklärungen folgt, bleiben gewisse Unstimmigkeiten bestehen. So sind entweder vier Jahre zwischen dem Schulende, welches angeblich der Anlass für die Ausreise war, und der angeblich spontanen Ausreise verstrichen oder die Daten stimmen auch nach den Erklärungen auf Beschwerdeebene nicht überein. Nach dem Gesagten ist aufgrund der unglaubhaften Vorbringen im erstinstanzlichen Verfahren, welche im Übrigen ein schiefes Licht auf die persönliche Glaubwürdigkeit der Beschwerdeführerin werfen, festzustellen, dass es ihr nicht gelungen ist, das Vorliegen von subjektiven Nachfluchtgründen nachzuweisen oder zumindest glaubhaft zu machen, und infolgedessen von ihrer legalen Ausreise auszugehen ist. Angesichts der Unglaubhaftigkeit der Vorbringen sind die Ausführungen in der Beschwerde zur Lage in Eritrea (insbesondere zur Frage, ob Musliminnen zum Militärdienst aufgeboten würden) unbehelflich. Folglich hat die Vorinstanz die Flüchtlingseigenschaft zu Recht verneint.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Dieses Urteil ergeht im selben Spruchkörper und mit demselben Datum wie dasjenige im Verfahren E 1462/2015. Damit wurde dem Gesuch um Zusammenlegung der Verfahren entsprochen. Die gestellten Rechtsbegehren haben sich als aussichtslos erwiesen; deshalb ist das Gesuch um unentgeltliche Rechtspflege gemäss Art. 65 Abs. 1 VwVG, einer allfälligen prozessualen Bedürftigkeit ungeachtet, abzuweisen. Das Gesuch um Entbindung von der Vorschusspflicht ist mit dem vorliegenden Entscheid gegenstandslos geworden.</w:t>
      </w:r>
    </w:p>
    <w:p>
      <w:r>
        <w:rPr>
          <w:b/>
        </w:rPr>
        <w:t>E. 10</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