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E-1472/2007 vom 4. Juni 2007</w:t>
      </w:r>
    </w:p>
    <w:p>
      <w:r>
        <w:t>Bundesverwaltungsgericht, 2007-06-04, DE</w:t>
      </w:r>
    </w:p>
    <w:p>
      <w:r>
        <w:rPr>
          <w:b/>
        </w:rPr>
        <w:t xml:space="preserve">Quelle: </w:t>
      </w:r>
      <w:r>
        <w:t>https://mcp.opencaselaw.ch/entscheid/bvger_E-1472_2007</w:t>
      </w:r>
    </w:p>
    <w:p>
      <w:r>
        <w:t>FR: TAF E-1472/2007 du 4 juin 2007</w:t>
      </w:r>
    </w:p>
    <w:p>
      <w:r>
        <w:t>IT: TAF E-1472/2007 del 4 giugno 2007</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2.1</w:t>
      </w:r>
    </w:p>
    <w:p>
      <w:r>
        <w:t>Am 2. März 2007 ist die Verfügung des BFM vom 26. Januar 2007 in Bezug auf den aus der Schweiz ausgereisten Vater und Ex-Mann der Beschwerdeführer unangefochten in Rechtskraft erwachsen.</w:t>
      </w:r>
    </w:p>
    <w:p>
      <w:r>
        <w:rPr>
          <w:b/>
        </w:rPr>
        <w:t>E. 2.2</w:t>
      </w:r>
    </w:p>
    <w:p>
      <w:r>
        <w:t>Der Wortlaut des eingereichten Scheidungsurteils des Bezirksgerichts in N._______vom (...) steht der Vertretung von fünf minderjährigen eigenen Kindern durch die Beschwerdeführerin nicht entgegen. Zwar wies das betreffende Scheidungsurteil dem Vater die alleinige Verantwortung für Erziehung, Obhut und Bildung dieser Kinder zu. Aus dieser von den geschiedenen Personen offenbar einvernehmlich eingebrachten und vom Bezirksgericht übernommenen Verantwortlichkeitsaufteilung liesse sich nicht ableiten, dass der Beschwerdeführerin damit auch die elterliche Handlungsvollmacht für ihre minderjährigen Kinder in Asylsachen entzogen worden wäre. Schliesslich wäre auch eine Geschäftsführung ohne Auftrag für den in (...) in Haft befindlichen Vater zur zwischenzeitlichen Wahrung der Interessen der Kinder denkbar, zumal sich die angefochtene Verfügung an alle Familienangehörigen (inkl. J._______) richtet.</w:t>
      </w:r>
    </w:p>
    <w:p>
      <w:r>
        <w:rPr>
          <w:b/>
        </w:rPr>
        <w:t>E. 2.3</w:t>
      </w:r>
    </w:p>
    <w:p>
      <w:r>
        <w:t>Die Beschwerde ist form- und fristgerecht eingereicht; die Beschwerdeführerin und ihre minderjährigen Kinder sind legitimiert (Art. 6 AsylG i.V.m. Art. 48 und 50 ff. VwVG). Auf die Beschwerde der Beschwerdeführerin und ihrer minderjährigen Kinder ist einzutreten.</w:t>
      </w:r>
    </w:p>
    <w:p>
      <w:r>
        <w:rPr>
          <w:b/>
        </w:rPr>
        <w:t>E. 3</w:t>
      </w:r>
    </w:p>
    <w:p>
      <w:r>
        <w:t>Die Vernehmlassung des BFM vom 20. März 2007 ist den Beschwerdeführern bisher nicht zur Kenntnis gebracht worden. Angesichts des Verfahrensausganges kann auf eine vorgängige Unterbreitung zur Stellungnahme verzichtet und die Vernehmlassung mit dem vorliegenden Entscheid zur Kenntnis gebracht werden (vgl. Art. 30 Abs. 2 Bst. c VwVG). Aus gleichem Grund weist das Bundesverwaltungsgericht den Antrag auf Akteneinsicht ab, zumal - wie nachfolgend aufgezeigt - dem Hauptantrag der Beschwerdeführer zu entsprechen ist (vgl. Dispositivziffer 4 der Zwischenverfügung an die Beschwerdeführer vom 9. März 2007). Es bleibt indessen den Beschwerdeführern unbenommen, bei Bedarf ein entsprechendes Gesuch an die Vorinstanz zu richten.</w:t>
      </w:r>
    </w:p>
    <w:p>
      <w:r>
        <w:rPr>
          <w:b/>
        </w:rPr>
        <w:t>E. 4</w:t>
      </w:r>
    </w:p>
    <w:p>
      <w:r>
        <w:t>Eine in Anwendung von Art. 44 Abs. 2 AsylG angeordnete vorläufige Aufnahme kann dann aufgehoben werden, wenn der Vollzug der rechtskräftig angeordneten Wegweisung zulässig und es der ausländischen Person möglich und zumutbar ist, sich rechtmässig in einen Drittstaat oder in ihren Heimatstaat oder in das Land zu begeben, in dem sie zuletzt wohnte; sie erlischt, wenn die ausländische Person freiwillig ausreist oder eine Aufenthaltsbewilligung erhält (Art. 14b Abs. 2 des Bundesgesetzes vom 26. März 1931 über Aufenthalt und Niederlassung der Ausländer [ANAG, SR 142.20]). Das Bundesamt kann die vorläufige Aufnahme jederzeit aufheben. Verfügt es nicht auf Antrag der Behörde, welche die vorläufige Aufnahme beantragt hat, so hört es diese vorher an. Es setzt eine angemessene Ausreisefrist an, sofern nicht der sofortige Vollzug der Weg- oder Ausweisung angeordnet wird. Das Verfahren richtet sich nach dem VwVG und dem BGG (Art. 26 Abs. 1 der Verordnung vom 11. August 1999 über den Vollzug der Weg- und Ausweisung von ausländischen Personen [VVWA, SR 142.281]). Der Vollzug ist nicht möglich, wenn die ausländische Person weder in den Herkunfts- oder in den Heimatstaat noch in einen Drittstaat ausreisen oder dorthin gebracht werden kann. Er ist nicht zulässig, wenn völkerrechtliche Verpflichtungen der Schweiz einer Weiterreise der ausländischen Person in ihren Heimat-, Herkunfts- oder einen Drittstaat entgegenstehen. Der Vollzug kann insbesondere nicht zumutbar sein, wenn er für die ausländische Person eine konkrete Gefährdung darstellt (Art. 14a Abs. 2 - 4 ANAG).</w:t>
      </w:r>
    </w:p>
    <w:p>
      <w:r>
        <w:rPr>
          <w:b/>
        </w:rPr>
        <w:t>E. 5.1</w:t>
      </w:r>
    </w:p>
    <w:p>
      <w:r>
        <w:t>Zur Begründung der Aufhebung der vorläufigen Aufnahme führte die Vorinstanz im Wesentlichen aus, im heutigen Zeitpunkt sei der Vollzug der Wegweisung in das Heimatland der Beschwerdeführer als durchführbar zu erachten. Die Situation der ethnischen Minderheiten im Heimatland habe sich in letzter Zeit verbessert. Die Abklärungen des BFM über das schweizerische Verbindungsbüro in M._______ hätten ergeben, dass die Beschwerdeführer dort nicht aufgrund ihrer ethnischen Zugehörigkeit gefährdet seien. Bezüglich der einzelnen Details kann an dieser Stelle auf die angefochtene Verfügung verwiesen werden. Aus den Akten - auch aus der Stellungnahme der Beschwerdeführer vom 15. Januar 2007 - sei (sinngemäss) nichts zu entnehmen, was einem Vollzug der Wegweisung der Beschwerdeführer entgegenstehen könne. Die Beschwerdeführer seien gesund und in der Schweiz weder beruflich noch sozial integriert. Sie hätten mittlerweile dem Gemeinwesen hohe Kosten verursacht und seien bis anhin keiner Arbeit nachgegangen. Zudem hätten sie Mühe, die geltende Rechtsordnung zu respektieren. Angesichts des Grundbesitzes der (...) könne nicht von einer Mittellosigkeit gesprochen werden. Ein Wegweisungsvollzug sei durchführbar. Die entsprechenden Anträge im Schreiben vom 15. Januar 2007 seien beim vorliegenden Verfahrensstand unbeachtlich.</w:t>
      </w:r>
    </w:p>
    <w:p>
      <w:r>
        <w:rPr>
          <w:b/>
        </w:rPr>
        <w:t>E. 5.2</w:t>
      </w:r>
    </w:p>
    <w:p>
      <w:r>
        <w:t>In der Beschwerde wird unter anderem geltend gemacht, ein Wegweisungsvollzug der Beschwerdeführerin mit ihren fünf Kindern (...) sei nicht durchführbar. Albanischstämmige hätten inzwischen das (...) reparierte Haus in (...) beschädigt. Die dortigen Nachbarn, (...), versuchten, dieses Haus (...) wegzunehmen, entweder durch Entrechtung oder Beseitigung der Familie. Zur Zeit würden nur noch (...) im Ort leben, die zu den Angehörigen der (...) zu zählen seien. Die Kinder lebten entgegen der Tradition bei der geschiedenen Mutter. Eine Rückkehr sei auch aus Sicht des Kinderrechts nicht zulässig. Der Heimatstaat sei untätig gegenüber existenzbedrohender Armut und verweigere eine ausreichende Gesundheitsversorgung. Grosse ökonomische und soziale Probleme würden die Rückkehrer (...) erwarten. Die Beschwerdeführer müssten unter dem Existenzminimum leben; ein menschenwürdiges Leben sei ihnen dort verwehrt.</w:t>
      </w:r>
    </w:p>
    <w:p>
      <w:r>
        <w:rPr>
          <w:b/>
        </w:rPr>
        <w:t>E. 5.3</w:t>
      </w:r>
    </w:p>
    <w:p>
      <w:r>
        <w:t>Die Vorinstanz erklärte in ihrer Vernehmlassung, das Scheidungsurteil könne keinen erheblichen Einfluss auf die verfügte Aufhebung der vorläufigen Aufnahme haben. So hätten die Beschwerdeführer ihr familiäres Leben in der Schweiz ungeachtet der Scheidung fortgesetzt. Die Scheidungsurkunde sei wohl deshalb eingereicht worden, um die Chance zu erhöhen, dass Frau und Kinder weiterhin in der Schweiz bleiben könnten. Ausserdem hätten sich die Beschwerdeführer vorzuhalten, dass sie die schweizerischen Behörden nicht zeitgerecht über ihre familiäre Situation in Kenntnis gesetzt hätten. Das BFM gehe davon aus, dass die deutschen Behörden den Ex-Mann nach Serbien ausweisen würden. Schliesslich hätten die Beschwerdeführer in der Schweiz grosse ökonomische und soziale Probleme geschaffen. Trotz grosser Anstrengungen des Wohnkantons habe sich das Verhalten der Beschwerdeführer in der Schweiz nicht geändert. Es stehe nicht zur Diskussion, dass die Familie auch ihren Teil der Verantwortung zu übernehmen habe. Die Einzelabklärung des Verbindungsbüros in M._______ habe ergeben, dass im Heimatland ein grosses Haus eines Onkels mit wenig Aufwand zum Bewohnen bereit gestellt werden könne. Ausserdem bestehe (...) ein gutes Beziehungsnetz und die Familie sei dort bekannt. Eine Rückkehr der Familie sei auch für die Söhne sinnvoll. Zudem bestehe ein Rückkehrhilfeprogramm, das sich speziell an Angehörige ethnischer Minderheiten aus dem Kosovo richte und soziale oder wirtschaftliche Nachteile mildern helfe. Unter den genannten Umständen sei der Vollzug der Wegweisung als durchführbar zu beurteilen.</w:t>
      </w:r>
    </w:p>
    <w:p>
      <w:r>
        <w:rPr>
          <w:b/>
        </w:rPr>
        <w:t>E. 6</w:t>
      </w:r>
    </w:p>
    <w:p>
      <w:r>
        <w:t>In einem ersten Schritt ist zu prüfen, ob die Vorinstanz im Vorfeld der Aufhebung der vorläufigen Aufnahme in Übereinstimmung mit den anwendbaren rechtlichen Normen vorgegangen ist, und bejahenderweise in einem zweiten Schritt, ob sie die vorläufige Aufnahme der Beschwerdeführerin und ihrer minderjährigen Kinder zu Recht aufgehoben hat.</w:t>
      </w:r>
    </w:p>
    <w:p>
      <w:r>
        <w:rPr>
          <w:b/>
        </w:rPr>
        <w:t>E. 6.1</w:t>
      </w:r>
    </w:p>
    <w:p>
      <w:r>
        <w:t>Die Beschwerdeführer machten unter anderem geltend, (Angehörige (einer ethnischen Minderheit) zu sein. Die Herkunftsanalyse vom 23. Mai 2001 bestätigte die Sozialisierung von (...) im Kosovo und dessen Zuordnung (zu einer der Minderheiten) (vgl. act. B 17).</w:t>
      </w:r>
    </w:p>
    <w:p>
      <w:r>
        <w:rPr>
          <w:b/>
        </w:rPr>
        <w:t>E. 6.1.1</w:t>
      </w:r>
    </w:p>
    <w:p>
      <w:r>
        <w:t>Das Bundesverwaltungsgericht hielt in einem kürzlich ergangenen Urteil vom 23. April 2007 (E-5823/2006, N 484 829) grundsätzlich an der Fortsetzung der bisherigen Praxis der ARK (vgl. Entscheidungen und Mitteilungen der Schweizerischen Asylrekurskommission [EMARK] 2006 Nrn. 10 und 11) fest, wonach Angehörige von Minderheiten im Kosovo, namentlich Angehörige der Volksgruppe der (...), unter anderem nur aufgrund einer sorgfältig durchgeführten Einzelabklärung vor Ort, beispielsweise durch das schweizerische Verbindungsbüro in M._______, zu einer Rückkehr in ihr Heimatland verpflichtet werden können. Eine solche Abklärung individueller Reintegrationskriterien wurde im vorliegenden Fall vom schweizerischen Verbindungsbüro in M._______ gegen Ende Jahr 2006/Januar 2007 durchgeführt.</w:t>
      </w:r>
    </w:p>
    <w:p>
      <w:r>
        <w:rPr>
          <w:b/>
        </w:rPr>
        <w:t>E. 6.1.2</w:t>
      </w:r>
    </w:p>
    <w:p>
      <w:r>
        <w:t>Bei dieser Sachlage verbleibt in formeller Hinsicht zu prüfen, ob den Beschwerdeführern das rechtliche Gehör zu dieser erwähnten Einzelfallabklärung vor Ort respektive zu den Resultaten des schweizerischen Verbindungsbüros in M._______ in einer korrekten Weise gewährt worden ist. Gemäss Art. 29 Abs. 2 der Bundesverfassung der Schweizerischen Eidgenossenschaft vom 18. April 1999 (BV, SR 101) sowie Art. 29 VwVG haben die Parteien Anspruch auf rechtliches Gehör. Dieser Grundsatz wird in Art. 30 Abs. 1 VwVG dahingehend konkretisiert, dass die Behörde die Parteien anzuhören hat, bevor sie verfügt. Der Anspruch auf rechtliches Gehör ist formeller Natur. Das BFM argumentierte in der angefochtenen Verfügung, es habe den Beschwerdeführern mit Schreiben vom 10. Januar 2007 Gelegenheit gegeben, zur geplanten Aufhebung der vorläufigen Aufnahme Stellung zu nehmen (vgl. dort Sachverhalt, S. 2). Im Schreiben vom 10. Januar 2007 informierte es jedoch weder über die Einzelfallabklärung seines Verbindungsbüros in M._______, noch über die vom Büro festgestellten Ergebnisse oder Schlüsse. Der Text enthielt keine individualisierte Beurteilung von individuellen Reintegrationsfaktoren. Vielmehr begnügte sich das BFM, die generelle Zumutbarkeit einer Rückführung von Angehörigen der Volksgruppe der (...) als zeitgemässe Tatsache darzustellen. So erklärte es bloss, "bereits seit einiger Zeit" könne die Gefährdung für Angehörige der Volksgruppen der albanischsprachigen Roma und der Ashkali im ganzen Kosovo weitgehend ausgeschlossen werden, weshalb der Vollzug der Wegweisung in den Kosovo grundsätzlich wieder zumutbar sei. Demgegenüber stützte sich das BFM in der angefochtenen Verfügung vom 26. Januar 2007 bei der Beurteilung der Zumutbarkeit des Wegweisungsvollzugs auf einzelne Resultate und Schlüsse aus den Berichten seines Verbindungsbüros. Somit hatten die Beschwerdeführer vor der Eröffnung der Verfügung vom 26. Januar 2007 keine Gelegenheit erhalten, allfällige Einwände gegen die individuellen Zumutbarkeitskriterien des Verbindungsbüros in M._______ anzubringen und ihre allfälligen Vorbehalte zu begründen. Ihr Anspruch auf rechtliches Gehör ist damit verletzt (vgl. die nach wie vor zutreffende Rechtsprechung der ARK in EMARK 1994 Nr. 1 und 1994 Nr. 23). Da dieser Anspruch rein formeller Natur ist, ist es in diesem Verfahren nicht an den Beschwerdeführern, ein materielles Interesse nachzuweisen, wonach die angefochtene Verfügung bei ordentlicher Gewährung des rechtlichen Gehörs anders ausgefallen wäre. Weiter ist anzufügen, dass die vorstehend erwähnten Mängel von den Beschwerdeführern zwar nicht gerügt werden, indessen gemäss Praxis der ARK von Amtes wegen als Kassationsgrund berücksichtigt werden können, wenn die Mängel schwerwiegend sind und eine vernünftige Prozesserledigung in der Rechtsmittelinstanz verunmöglichen (vgl. EMARK 1993 Nr. 35 E. 3 c, S. 246f.). Ferner gilt an dieser Stelle lediglich anzumerken, dass die Erkenntnis des BFM in seinem Schreiben vom 10. Januar 2007, wonach die Gefährdung für Angehörige der (...) im ganzen Kosovo weitgehend ausgeschlossen werden könne, nicht in dieser generellen Form vom Bundesverwaltungsgericht mitgetragen wird, ansonsten das Bundesverwaltungsgericht keine Veranlassung zu einer weiteren Aufrechterhaltung von Einzelfallprüfungen vor Ort hätte (s. vorstehendes Urteil i.S. E-5823/2006).</w:t>
      </w:r>
    </w:p>
    <w:p>
      <w:r>
        <w:rPr>
          <w:b/>
        </w:rPr>
        <w:t>E. 6.2</w:t>
      </w:r>
    </w:p>
    <w:p>
      <w:r>
        <w:t>Aus den obenstehenden Erwägungen ergibt sich, dass die Voraussetzungen für eine Aufhebung der mit Verfügung vom 12. April 2002 angeordneten vorläufigen Aufnahme in formeller Hinsicht nicht gegeben waren, zumal im Vorfeld der geplanten Aufhebung das rechtliche Gehör zu den Abklärungsergebnissen der Einzelfallprüfung durch das schweizerische Verbindungbüro in M._______ den Beschwerdeführern nicht in rechtsgenüglicher Weise gewährt worden ist. Die Beschwerde ist daher im Hauptantrag gutzuheissen, womit sich die materielle Überprüfung der Aufhebung der vorläufigen Aufnahme erübrigt. Die angefochtene Verfügung des BFM vom 26. Januar 2007 ist aufzuheben. Somit bleiben die Beschwerdeführer - bis zu einer anderen Anordnung des BFM - vorläufig in der Schweiz aufgenommen.</w:t>
      </w:r>
    </w:p>
    <w:p>
      <w:r>
        <w:rPr>
          <w:b/>
        </w:rPr>
        <w:t>E. 7.1</w:t>
      </w:r>
    </w:p>
    <w:p>
      <w:r>
        <w:t>Einer obsiegenden Partei werden in der Regel keine Verfahrenskosten aufzuerlegen sein, es sei denn, sie habe diese durch Verletzung von Verfahrenspflichten verursacht (vgl. Art. 63 Abs. 3 VwVG). Im vorliegenden Fall sind keine solche Anzeichen erkennbar. Bei diesem Ausgang des Verfahrens sind den Beschwerdeführern keine Verfahrenskosten aufzuerlegen (Art. 63 Abs. 1 und 3 VwVG sowie Art. 16 Abs. 1 Bst. a VGG i.V.m. Art. 2 und 3 des Reglements über die Kosten und Entschädigungen vor dem Bundesverwaltungsgericht vom 11. Dezember 2006 [VGKE, SR 173.320.2]).</w:t>
      </w:r>
    </w:p>
    <w:p>
      <w:r>
        <w:rPr>
          <w:b/>
        </w:rPr>
        <w:t>E. 7.2</w:t>
      </w:r>
    </w:p>
    <w:p>
      <w:r>
        <w:t>Bei dieser Sachlage ist das Gesuch um Gewährung der unentgeltlichen Prozessführung im Sinne von Art. 65 Abs. 1 VwVG gegenstandslos (vgl. Dispositivziffer 4 der Zwischenverfügung an die Beschwerdeführer vom 9. März 2007).</w:t>
      </w:r>
    </w:p>
    <w:p>
      <w:r>
        <w:rPr>
          <w:b/>
        </w:rPr>
        <w:t>E. 7.3</w:t>
      </w:r>
    </w:p>
    <w:p>
      <w:r>
        <w:t>Die Beschwerdeinstanz kann der ganz oder teilweise obsiegenden Partei von Amtes wegen oder auf Begehren eine Entschädigung für ihr erwachsene notwendige und verhältnismässig hohe Kosten zusprechen (Art. 64 Abs. 1 VwVG; Art. 7 des Reglements vom 11. Dezember 2006 über die Kosten und Entschädigungen vor dem Bundesverwaltungsgericht [VGKE, SR 173.320.2]). Die Beschwerdeführer sind vertreten und haben im vorliegenden Verfahren obsiegt. Trotz einer entsprechenden Aufforderung vom 9. März 2007 wurde keine Honorarnote innert angesetzter Frist eingereicht. Infolgedessen ist der Aufwand von Amtes wegen festzulegen (vgl. Art. 14 Abs. 2, in fine VGKE). In Anwendung der vorgenannten Bestimmungen sowie unter Berücksichtigung der massgeblichen Bemessungsfaktoren (vgl. Art. 8 ff. VGKE) ist eine Parteientschädigung von insgesamt Fr. 500.-- (inkl. MWSt und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