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E-1470/2015 vom 30. Juni 2015</w:t>
      </w:r>
    </w:p>
    <w:p>
      <w:r>
        <w:t>Bundesverwaltungsgericht, 2015-06-30, DE</w:t>
      </w:r>
    </w:p>
    <w:p>
      <w:r>
        <w:rPr>
          <w:b/>
        </w:rPr>
        <w:t xml:space="preserve">Quelle: </w:t>
      </w:r>
      <w:r>
        <w:t>https://mcp.opencaselaw.ch/entscheid/bvger_E-1470_2015</w:t>
      </w:r>
    </w:p>
    <w:p>
      <w:r>
        <w:t>FR: TAF E-1470/2015 du 30 juin 2015</w:t>
      </w:r>
    </w:p>
    <w:p>
      <w:r>
        <w:t>IT: TAF E-1470/2015 del 30 giugno 2015</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in Asylsachen kann die Verletzung von Bundesrecht sowie die unrichtige oder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Das SEM tritt gemäss Art. 31a Abs. 1 Bst. a AsylG auf ein Asylgesuch nicht ein, wenn Asylsuchende in einen sicheren Drittstaat nach Art. 6a Abs. 2 Bst. b AsylG zurückkehren können, in welchem sie sich vorher aufgehalten haben.</w:t>
      </w:r>
    </w:p>
    <w:p>
      <w:r>
        <w:rPr>
          <w:b/>
        </w:rPr>
        <w:t>E. 3.2</w:t>
      </w:r>
    </w:p>
    <w:p>
      <w:r>
        <w:t>Italien wurde am 14. Dezember 2007 vom Bundesrat als sicherer Drittstaat im Sinne von Art. 6a Abs. 2 Bst. b AsylG bezeichnet. Die Beschwerdeführerin hat sich vor der Einreise in die Schweiz unbestrittenermassen in Italien aufgehalten und dort ein Asylverfahren durchlaufen, das mit dem Zusprechen subsidiären Schutzes endete und auch die Erteilung einer entsprechenden Aufenthaltsbewilligung zur Folge hatte. Dies wird von der Beschwerdeführerin richtigerweise nicht bestritten. Die Vorinstanz ist daher mit zutreffender Begründung auf das Asylgesuch nicht eingetreten.</w:t>
      </w:r>
    </w:p>
    <w:p>
      <w:r>
        <w:rPr>
          <w:b/>
        </w:rPr>
        <w:t>E. 4.1</w:t>
      </w:r>
    </w:p>
    <w:p>
      <w:r>
        <w:t>Gemäss Art. 44 AsylG verfügt das Bundesamt in der Regel die Wegweisung aus der Schweiz, wenn es das Asylgesuch ablehnt oder darauf nicht eintritt; es berücksichtigt dabei die Einheit der Familie. Die Wegweisung wird unter anderem dann nicht verfügt, wenn die asylsuchende Person im Besitze einer gültigen Niederlassungs- oder Aufenthaltsbewilligung ist (Art. 32 Bst. a der Asylverordnung 1 vom 11. August 1999 über Verfahrensfragen [AsylV 1, SR 142.311]) oder Anspruch auf Erteilung einer solchen hat.</w:t>
      </w:r>
    </w:p>
    <w:p>
      <w:r>
        <w:rPr>
          <w:b/>
        </w:rPr>
        <w:t>E. 4.2</w:t>
      </w:r>
    </w:p>
    <w:p>
      <w:r>
        <w:t>Die Beschwerdeführerin bringt auf Beschwerdeebene vor, ihr Konkubinatspartner habe einen festen Rechtsanspruch auf eine Aufenthaltsbewilligung in der Schweiz. Er habe im Dezember 2014 einen positiven Asylentscheid erhalten, sei als Flüchtling anerkannt worden und besitze eine B-Bewilligung. Eine dauerhaft eheähnliche und intakte Gemeinschaft würden sie und ihr Partner belegen können, womit der Entscheid der Vor­instanz Art. 8 EMRK verletze.</w:t>
      </w:r>
    </w:p>
    <w:p>
      <w:r>
        <w:rPr>
          <w:b/>
        </w:rPr>
        <w:t>E. 4.3</w:t>
      </w:r>
    </w:p>
    <w:p>
      <w:r>
        <w:t>Gemäss Art. 14 Abs. 1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Im Asyl- und Wegweisungsverfahren ist die Wegweisung deshalb nicht zu verfügen, falls ein grundsätzlicher Anspruch auf Erteilung einer Aufenthaltsbewilligung besteht, über den konkret zu befinden die kantonale Ausländerbehörde zuständig ist. Ist die asylsuchende Person nicht im Besitze einer Aufenthalts- oder Niederlassungsbewilligung,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Aufenthaltsbewilligung berufen kann. Soweit nicht das Gesetz oder Freizügigkeitsabkommen einen Anspruch auf Erteilung einer Aufenthaltsbewilligung vermitteln, fällt als Anspruchsgrundlage Art. 8 EMRK in Betracht, wobei diesbezüglich die bundesgerichtliche Rechtsprechung massgeblich ist (vgl. dazu Urteil des Bundesverwaltungsgerichts D-1551/2013 vom 2. Mai 2013 E. 5.1, mit Verweisen). Die Beschwerdeführerin selbst verfügt weder über eine ausländerrechtliche Niederlassungs- oder Aufenthaltsbewilligung noch über einen selbständigen Anspruch auf Erteilung einer Aufenthaltsbewilligung. Da ein gesetzlicher Anspruch fehlt, ist vorfrageweise ein Anspruch gestützt auf Art. 8 EMRK zu prüfen.</w:t>
      </w:r>
    </w:p>
    <w:p>
      <w:r>
        <w:rPr>
          <w:b/>
        </w:rPr>
        <w:t>E. 4.4</w:t>
      </w:r>
    </w:p>
    <w:p>
      <w:r>
        <w:t>Gemäss Art. 8 EMRK hat jede Person das Recht auf Achtung ihres Privat- und Familienlebens, ihrer Wohnung und ihrer Korrespondenz (Ziff. 1).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 Art. 8 EMRK garantiert zwar das Recht auf Achtung des Privat- und Familienlebens, enthält aber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In den Schutzbereich von Art. 8 EMRK fallen auch nicht rechtlich begründete familiäre Verhältnisse wie beispielsweise das Konkubinat, sofern eine genügend nahe, echte und tatsächlich gelebte Beziehung besteht; entscheidend ist die Qualität des Familienlebens und nicht dessen rechtliche Begründung (vgl. Urteil des Bundesgerichts 2C_634/2011 vom 27. Juni 2012 E. 4.2.2). Der sich hier aufhaltende Familienangehörige bzw. Konkubinatspartner muss nach bundesgerichtlicher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 1.3.1).</w:t>
      </w:r>
    </w:p>
    <w:p>
      <w:r>
        <w:rPr>
          <w:b/>
        </w:rPr>
        <w:t>E. 4.5</w:t>
      </w:r>
    </w:p>
    <w:p>
      <w:r>
        <w:t>Die Beschwerdeführerin reichte mit ihrer Beschwerde eine Kopie der Aufenthaltsbewilligung B ihres Konkubinatspartners ein und macht ein nahe, echte und gelebte Beziehung geltend. Sie kann sich somit grundsätzlich auf Art. 8 EMRK berufen. Die Vorfrage ist damit zu bejahen, wobei die konkrete Beurteilung des Anspruchs nicht mehr Sache des Bundesverwaltungsgerichts ist. Am 31. März 2015 hat die Rechtsanwältin der Beschwerdeführerin beim Amt für Migration des Kantons Luzern für diese ein Gesuch um Familiennachzug eingereicht. Damit liegt die Zuständigkeit zum Entscheid über eine Wegweisung und deren allfälligen Vollzug bei der kantonalen Migrationsbehörde.</w:t>
      </w:r>
    </w:p>
    <w:p>
      <w:r>
        <w:rPr>
          <w:b/>
        </w:rPr>
        <w:t>E. 4.6</w:t>
      </w:r>
    </w:p>
    <w:p>
      <w:r>
        <w:t>Die im Asylverfahren angeordnete Wegweisung wird praxisgemäss aufgehoben, wenn ein grundsätzlicher Anspruch gestützt auf Art. 8 EMRK vorfrageweise bejaht wird (BVGE 2013/37 E. 4.4.2, vgl. auch Urteil des Bundesverwaltungsgerichts D-5547/2008 vom 16. März 2011, mit Verweis). Damit erübrigen sich weitere Ausführungen zur Durchführbarkeit des Wegweisungsvollzuges; allfällige Wegweisungshindernisse sind durch die kantonale Migrationsbehörde zu prüfen.</w:t>
      </w:r>
    </w:p>
    <w:p>
      <w:r>
        <w:rPr>
          <w:b/>
        </w:rPr>
        <w:t>E. 4.7</w:t>
      </w:r>
    </w:p>
    <w:p>
      <w:r>
        <w:t>Aus den vorstehenden Erwägungen ergibt sich, dass die Verfügung des SEM vom 4. Februar 2015 in Dispositivziffer 2 (Wegweisung) aufzuheben ist. Im Übrigen ist die Beschwerde betreffend der Dispositivziffer 1 (Nichteintreten auf das Asylgesuch) abzuweisen, soweit sie nicht betreffend Dispositivziffer 3 und 4 nachträglich gegenstandslos geworden ist (Vollzug der Wegweisung).</w:t>
      </w:r>
    </w:p>
    <w:p>
      <w:r>
        <w:rPr>
          <w:b/>
        </w:rPr>
        <w:t>E. 5.1</w:t>
      </w:r>
    </w:p>
    <w:p>
      <w:r>
        <w:t>Aufgrund dieser Erwägungen ist die Beschwerde als von vornherein aussichtslos zu erachten, wodurch das Gesuch um Gewährung der unentgeltlichen Prozessführung und amtlichen Rechtsverbeiständung gemäss Art. 65 Abs. 1 VwVG i.V.m. Art. 110a AsylG abzuweisen ist.</w:t>
      </w:r>
    </w:p>
    <w:p>
      <w:r>
        <w:rPr>
          <w:b/>
        </w:rPr>
        <w:t>E. 5.2</w:t>
      </w:r>
    </w:p>
    <w:p>
      <w:r>
        <w:t>Bei diesem Ausgang des Verfahrens gilt die Beschwerdeführerin als unterliegende Partei (Art. 63 Abs. 1 VwVG). Die angefochtene Verfügung ist im Wegweisungspunkt nicht wegen eines Beschwerdevorbringens aufzuheben, sondern deshalb, weil die Beschwerdeführerin nachträglich durch ihr Verhalten die Unzuständigkeit der Beschwerdeinstanz bewirkt hat (Art. 15 des Reglements vom 21. Februar 2008 über die Kosten und Entschädigungen vor dem Bundesverwaltungsgericht [VGKE, SR 173.320.2]). Entsprechend hat die Beschwerdeführerin die Kosten des vorliegenden Verfahrens zu tragen, welche auf Fr. 600.- festzusetzen sind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