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E-1454/2010 vom 5. September 2012</w:t>
      </w:r>
    </w:p>
    <w:p>
      <w:r>
        <w:t>Bundesverwaltungsgericht, 2012-09-05, DE</w:t>
      </w:r>
    </w:p>
    <w:p>
      <w:r>
        <w:rPr>
          <w:b/>
        </w:rPr>
        <w:t xml:space="preserve">Quelle: </w:t>
      </w:r>
      <w:r>
        <w:t>https://mcp.opencaselaw.ch/entscheid/bvger_E-1454_2010</w:t>
      </w:r>
    </w:p>
    <w:p>
      <w:r>
        <w:t>FR: TAF E-1454/2010 du 5 septembre 2012</w:t>
      </w:r>
    </w:p>
    <w:p>
      <w:r>
        <w:t>IT: TAF E-1454/2010 del 5 settembre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4.1</w:t>
      </w:r>
    </w:p>
    <w:p>
      <w:r>
        <w:t>Die Vorinstanz kommt in der angefochtenen Verfügung zum Schluss, dass die Vorbringen des Beschwerdeführers weder den Anforderungen an die Glaubhaftigkeit gemäss Art. 7 AsylG, noch denjenigen an die Flüchtlingseigenschaft gemäss Art. 3 AsylG standhielten. Zur Begründung führt sie aus, der Beschwerdeführer sei nicht in der Lage, die Razzien und Verhöre präzise zu schildern. Seine Aussagen seien sehr ausweichend und oberflächlich und würden keinerlei Details oder inhaltliche Besonderheiten aufweisen, die darauf schliessen liessen, dass er die dargelegten Ereignisse tatsächlich erlebt habe. Sodann habe er sich im Verlaufe des Verfahrens unterschiedlich bezüglich des Datums der erlittenen Schläge geäussert. Der als Beweismittel eingereichte Spitalbericht, welcher den Vorfall belegen sollte, datiere nach Einreichung des Asylgesuch, weshalb er als Gefälligkeitsschreiben zu bewerten sei. Ferner sei es realitätsfremd, dass Gefangene sich gegenseitig entfesseln, eine Türe aufbrechen und unbemerkt durch das Fenster des Nebenzimmer fliehen könnten. Ebenso wenig plausibel sei, dass die Entführer das Haus völlig unbewacht gelassen hätten. Auch hätte vom Beschwerdeführer erwartet werden dürfen, dass er sich vor der Ausreise darüber erkundigt, ob nach ihm gesucht werde. Zu Art. 3 AsylG hält die Vorinstanz fest, zwischen dem Verlassen des Vanni-Gebietes im Jahre 2005 und der Ausreise im Jahre 2008 sei der zeitliche und sachliche Zusammenhang nicht gegeben. Schliesslich sei die LTTE im Mai 2009 militärisch besiegt worden.</w:t>
      </w:r>
    </w:p>
    <w:p>
      <w:r>
        <w:rPr>
          <w:b/>
        </w:rPr>
        <w:t>E. 4.2</w:t>
      </w:r>
    </w:p>
    <w:p>
      <w:r>
        <w:t>Der Beschwerdeführer rügt, die Vorinstanz habe den Massstab des Glaubhaftmachens gemäss Art. 7 AsylG nicht richtig angewendet und damit Bundesrecht verletzt. Die Beweiswürdigung der Vorinstanz ist indes nicht zu beanstanden und sie hat den Massstab des Glaubhaftmachens korrekt auf den vorliegenden Fall angewendet. Was der Beschwerdeführer dagegen vorbringt, ist nicht geeignet, die vorinstanzliche Beweiswürdigung in einem anderen Licht erscheinen zu lassen. Er macht geltend, vor seiner Anhörung durch die Vorinstanz habe er gesehen, wie ein Asylsuchender in Handschellen und begleitet von Polizisten aus dem Befragungszimmer abgeführt worden sei. Da er befürchtet habe, ihm könnte dasselbe widerfahren, sei er während der Befragung verängstigt und angespannt gewesen. Das Gericht schliesst nicht aus, dass dieses Vorkommnis den Beschwerdeführer beeindruckt hat. Indes haben Asylsuchende bei den Befragungen über die Gründe Auskunft zu geben, die sie persönlich zum Verlassen ihres Heimatlandes und ihres persönlichen Umfeldes veranlasst haben, mithin haben sie über einschneidende, selbst erlebte Ereignisse zu berichten. Vor diesem Hintergrund ist der geltend gemachte Vorfall nicht geeignet, die insgesamt vagen, detailarmen und an Realkennzeichen mangelnden Asylvorbringen zu erklären. Ebenso wenig vermag der Beschwerdeführer aus den beiden nicht näher substantiierten Hinweisen, es falle ihm generell schwer, sich zu erinnern und er habe sich anlässlich der Anhörung leer gefühlt, etwas zu seinen Gunsten abzuleiten. Sodann bildet bei der Beurteilung der Glaubhaftigkeit die allgemeine Erfahrung und die Logik des Handelns ein zulässiges allgemein gültiges Beurteilungskriterium. Mit der Vorinstanz erachtet auch das Gericht den Umstand, dass das Haus, aus welchem der Beschwerdeführer geflüchtet sein will, unbewacht gewesen sein soll, als realitätsfremd und damit nicht glaubhaft. Weiter ist festzustellen, dass der Beschwerdeführer anlässlich der Erstbefragung angegeben hat, sein Vater sei seit 1991 tot. Es ist daher nicht nachvollziehbar, wie der Vater im Jahre 2008 die Besuche von Unbekannten im G._______ angezeigt haben will. Aus dem eingereichten Dokument vermag der Beschwerdeführer somit nichts zu seinen Gunsten abzuleiten. Schliesslich vermag der Beschwerdeführer mit dem Wiederholen seiner Vorbringen und dem Festhalten an deren Tatsächlichkeit nicht substantiiert darzutun, inwiefern die Vorinstanz zu Unrecht auf Unglaubhaftigkeit seiner Aussagen geschlossen hat. Um Wiederholungen zu vermeiden, kann auf die zutreffenden Erwägungen in der angefochtenen Verfügung verwiesen werden. Der Beschwerdeführer hat somit nichts vorgebracht, das geeignet wäre, die Flüchtlingseigenschaft nachzuweisen oder glaubhaft zu machen.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Das BFM hat den Beschwerdeführer mit Verfügung vom 4. Februar 2010 zufolge Unzumutbarkeit des Vollzugs der Wegweisung vorläufig aufgenommen. Bei dieser Sachlage erübrigen sich weitere Ausführungen im Zusammenhang mit der Durchführbarkeit des Vollzugs der Wegweisung.</w:t>
      </w:r>
    </w:p>
    <w:p>
      <w:r>
        <w:rPr>
          <w:b/>
        </w:rPr>
        <w:t>E. 7.1</w:t>
      </w:r>
    </w:p>
    <w:p>
      <w:r>
        <w:t>Der Beschwerdeführer beantragt die Gewährung der unentgeltlichen Rechtspflege gemäss Art. 65 Abs. 1 VwVG. Aufgrund der Akten ergibt sich, dass der Beschwerdeführer erwerbstätig ist und über ein Bruttoeinkommen von Fr. 4'300.85 verfügt. Damit ist er nicht mehr bedürftig, weshalb es an einer der kumulativ zu erfüllenden Voraussetzungen zur Gewährung der unentgeltlichen Rechtspflege fehlt. Dem Gesuch ist daher nicht stattzugeben.</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