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E-1450/2007 vom 6. September 2011</w:t>
      </w:r>
    </w:p>
    <w:p>
      <w:r>
        <w:t>Bundesverwaltungsgericht, 2011-09-06, DE</w:t>
      </w:r>
    </w:p>
    <w:p>
      <w:r>
        <w:rPr>
          <w:b/>
        </w:rPr>
        <w:t xml:space="preserve">Quelle: </w:t>
      </w:r>
      <w:r>
        <w:t>https://mcp.opencaselaw.ch/entscheid/bvger_E-1450_2007</w:t>
      </w:r>
    </w:p>
    <w:p>
      <w:r>
        <w:t>FR: TAF E-1450/2007 du 6 septembre 2011</w:t>
      </w:r>
    </w:p>
    <w:p>
      <w:r>
        <w:t>IT: TAF E-1450/2007 del 6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(Art. 37 VGG i.V.m. Art. 50 Abs. 1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würdigte in ihrer angefochtenen Verfügung die Asylvor­bringen des Beschwerdeführers als unglaubhaft. Zur Begründung führte sie aus, seine zu Protokoll gegebenen Aussagen in Bezug auf die bei­den Festnahmen hätten sich auf das Anfüh­ren von Allgemeinplätzen re­duziert und seien widersprüchlich dargelegt wor­den. Der Beschwerdefüh­rer habe eingangs der Bundesanhörung ange­geben, die erste Verhaftung nach 1996 erlitten zu haben. Später habe er geäussert, sich nicht mehr erinnern zu können, in welchem Jahr die Festnahme statt­gefunden habe; es könne auch nach 2004 gewesen sein (vgl. A16/9 S. 2). An den Zeitpunkt der zweiten Festnahme vermöge er sich ebenfalls nicht mehr zu erinnern. Sodann wisse er nicht, wo ge­nau er verhaftet wor­den sei (vgl. A16/9 S. 3). Demgegenüber habe er bei der EVZ-Befra­gung ausgeführt, er habe die beiden Festnahmen in den Jah­ren 1998/1999 erlebt (vgl. A1/11 S. 5), jedenfalls vor 2004 (vgl. A1/11 S. 6). Des Weiteren habe er auf die Frage, wann der Übergriff seitens der türki­schen Sicherheits­kräfte erfolgt sei, geantwortet, er wisse nicht mehr, ob es 1999 oder zu ei­nem späteren Zeitpunkt gewesen sei (vgl. A16/9 S. 6). Als er anlässlich der Bundesanhörung aufgefordert worden sei darzule­gen, was sich beim letztmaligen Vorstelligwerden der türki­schen Be­hör­den zugetragen habe, sei er bezeichnenderweise nicht dar­auf einge­gan­gen, sondern habe pauschal geschildert, wie solche Nachfra­gen seitens der Sicherheitskräfte erfolgen würden (vgl. A16/9 S. 6). Somit seien die Schilderung und Begründung des Beschwerdeführers hinsichtlich der gel­tend ge­machten Be­nachteiligungen als unglaubhaft zu qualifizieren, und es handle sich bei den betref­fenden Vorbringen offensichtlich um ein Kon­strukt. Ferner sei festzuhalten, dass auch das Vorbringen, auf­grund der voll­brachten Dienstleistung für bewaffnete Milizionäre der PKK ei­nes Ta­ges von den türkischen Sicherheitskräften verfolgt zu werden, ebenfalls nicht glaubhaft erscheine, zumal sich die Milizionäre der PKK nicht bewaff­net in der Stadt B._______ hätten transportieren lassen, da das Ri­siko, bei einer der zahlreichen Kontrollen durch die türkischen Sicherheits­kräfte auf­grund der mitgeführten Waffen enttarnt und festgenom­men zu werden, zu hoch gewesen wäre. Zudem habe der Be­schwerdeführer auf die Frage, wie er und die PKK-Milizionäre bei einer allfäl­ligen Kontrolle durch die Sicher­heitskräfte reagiert hätten, erwidert, sie hätten sich erge­ben oder von den Waffen Gebrauch gemacht (vgl. A 16/9 S. 6). Dem sei entgegenzu­halten, dass PKK-Milizionäre in derartigen Situationen pro­fessionell vorge­hen wür­den und folglich erwar­tungsge­mäss differenziertere Verhaltensmass­nahmen für den Notfall mit dem [Transportgehilfe] abge­sprochen hätten. Somit sei nach dem Ge­sagten festzuhal­ten, dass es dem Beschwer­deführer nicht gelungen sei, seine Verfolgungs­vorbringen glaub­haft darzutun.</w:t>
      </w:r>
    </w:p>
    <w:p>
      <w:r>
        <w:rPr>
          <w:b/>
        </w:rPr>
        <w:t>E. 4.2</w:t>
      </w:r>
    </w:p>
    <w:p>
      <w:r>
        <w:t>Demgegenüber wurde in der Rechtsmitteleingabe festgehalten, der Be­schwerdefüh­rer sei viel stärker behelligt worden als der Rest der Fami­lie, weil die türkischen Behörden davon ausgehen würden, dass sich un­ge­bundene junge Männer ohne Kinder keine Zurückhaltung bei illega­len Ak­tivitäten auferlegen und das grösste Potential für den kurdischen Wi­der­stand darstellen würden. Die Behelligungen, die der Beschwerdefüh­rer er­litten habe, würden von kurzzeitigen Festnahmen bis zu massiven kör­perli­chen Misshandlungen reichen, aufgrund derer er an wiederkehren­den star­ken (...)-Schmerzen leide, da von den Schlägen [ein Organ] wohl in Mitleidenschaft gezogen worden sei. Zudem stehe er aufgrund der angeblichen grossen Bekanntheit seines Vaters, des­sen politi­scher Ver­gangenheit für die Sache der Kurden und als (...) unver­heirateter Sohn unter verschärfter Beobachtung. Ange­sichts der lan­gen Zeitdauer, in welcher der Beschwerdeführer wiederholt von den türki­schen Sicherheits­kräften behelligt worden sei, erstaune es nicht, dass er sich nicht mehr an den genauen Zeitpunkt einzelner Vor­komm­nisse erin­nern könne. Im Übrigen sei dem Vater, der Mutter und den Ge­schwistern, letzte­ren gestützt auf die gesetzliche Regelvermutung der Ge­fährdung nächster Angehöriger von anerkannten Flüchtlingen, in der Schweiz Asyl gewährt worden. Folglich seien die Ereignisse, welche zur Verfolgung der Familie geführt hätten, kein Konstrukt. Des Weiteren sei es einleuch­tend, dass man einem gelegentlichen Transportgehilfen der Gue­rilla, der nicht zuletzt aufgrund seiner Familienzugehörigkeit für ver­trau­enswürdig gehalten werde, keine Einzelheiten über Pläne für ein späte­res Vorgehen mitteile, denn je weniger Informationen er erhalte, desto weniger könne er unter allfälliger Folter verraten. Ferner handle es sich beim Beschwerdefüh­rer um eine eher wortkarge Person, die nur das notwen­digste auf Fragen antworte. Überdies stehe er unter einem uner­trägli­chen psychischen Druck, da er als Sohn seines Vaters in den Augen der PKK seine Verantwortung wahrnehmen müsse; insbesondere zwinge man ihn zu Hilfsdiensten. Der Beschwerdeführer stehe somit zwischen den Fron­ten, während seine Familie im Ausland in Sicherheit sei. Schliess­lich sei im Sinne der Reflexverfolgung ebenfalls zu berücksichti­gen, dass er in der Schweiz bei seinen Angehörigen geweilt habe und die türkischen Behör­den im Falle einer allfälligen Rückschaffung desto mehr ein Inte­resse daran hätten, den Aufenthaltsort und die politischen Aktivitä­ten des Vaters in Erfahrung zu bringen, was als Nachfluchtgrund hinzu­komme.</w:t>
      </w:r>
    </w:p>
    <w:p>
      <w:r>
        <w:rPr>
          <w:b/>
        </w:rPr>
        <w:t>E. 4.3</w:t>
      </w:r>
    </w:p>
    <w:p>
      <w:r>
        <w:t>In seiner Vernehmlassung hielt das BFM fest, dem Beschwerdefüh­rer sei versichert, dass das Bundesamt vor seinem gefällten negativen Ent­scheid das Dossier des Vaters des Beschwerdeführers (Zustellung des betreffenden Dossiers an das EVZ am 18. Januar 2007) konsultiert habe. Des Weiteren sei festzuhalten, dass die Asylvorbringen des Be­schwerdefüh­rers hinsichtlich der geltend gemachten Verfolgung in der Tür­kei klar unglaubhaft seien. Vor diesem Hintergrund seien keine überzeu­genden Elemente vorhanden, die geeignet seien, das Einsetzen ei­ner Reflexverfolgung zu begründen, von welcher der Beschwerdeführer sei­ner Ansicht nach bei einer Rückkehr in seinen Heimatstaat betroffen sein solle.</w:t>
      </w:r>
    </w:p>
    <w:p>
      <w:r>
        <w:rPr>
          <w:b/>
        </w:rPr>
        <w:t>E. 4.4</w:t>
      </w:r>
    </w:p>
    <w:p>
      <w:r>
        <w:t>In der Replikeingabe führte der Rechtsvertreter aus, das BFM über­sehe im Hinblick auf die Würdigung einer Reflexverfolgung des Beschwer­deführers die tatsächliche Entwicklung in der Türkei. Angesichts der verschärften Gangart der türkischen Behörden und der martialischen Äusserungen betreffend die Kurdenfrage auf beiden Seiten herrsche eine er­höhte Gefahr. Auch wenn das Dossier des Vaters des Beschwerdefüh­rers gegenwärtig nicht mehr sehr aktuell erscheine, so sei doch festzuhal­ten, dass der Vater mit einem Datenblatt als unbequeme Person regist­riert sei. Der Beschwerdeführer würde deshalb bei einer allfälligen Rück­kehr in die Türkei mit grösster Wahrscheinlichkeit einer Kontrolle unterzo­gen. Dabei sei das Interesse an seiner Person durch den Auslandaufent­halt gestiegen, zumal er sich in der Schweiz bei seinem als angeblich unbe­queme Person und PKK-Anhänger bekannten Vater aufgehalten habe. Die türkischen Behörden würden sich für Kontakte in der Schweiz so­wie den Verbleib und die Aktivitäten von PKK-Unterstützern interessie­ren, was zu einem hohen Folterrisiko für den Beschwerdeführer führe.</w:t>
      </w:r>
    </w:p>
    <w:p>
      <w:r>
        <w:rPr>
          <w:b/>
        </w:rPr>
        <w:t>E. 5.1</w:t>
      </w:r>
    </w:p>
    <w:p>
      <w:r>
        <w:t>Gemäss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Die Anerkennung der Flüchtlingseigenschaft setzt zudem voraus, dass die betroffene Per­son einer landesweiten Verfolgung ausgesetzt ist und sich nicht in einem an­deren Teil ihres Heimatstaates in Schutz bringen kann (Entscheidun­gen und Mitteilungen der Schweizerischen Asylrekurskommission [EMARK] 2006 Nr. 18).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2008/4 E. 5.4 S. 38 f., EMARK 2000 Nr. 2 E. 8b, EMARK 1994 Nr. 24, E. 8a).</w:t>
      </w:r>
    </w:p>
    <w:p>
      <w:r>
        <w:rPr>
          <w:b/>
        </w:rPr>
        <w:t>E. 5.2</w:t>
      </w:r>
    </w:p>
    <w:p>
      <w:r>
        <w:t>Nach Prüfung der Akten gelangt das Bundesverwaltungsgericht - entge­gen der angefochtenen Verfügung - nachfolgend zum Schluss, dass die behaupte­ten Vorbrin­gen betreffend die geltend gemachten Trans­portdienste zu Gunsten der PKK zwar nicht der Glaubhaftigkeit entbeh­ren, je­doch keine Asylrelevanz zu entfalten vermö­gen. Namentlich ist diese Tätigkeit den Angaben des Beschwerdeführers zufolge den Be­hörden nie zur Kenntnis gelangt. Somit ist es auch nicht nachvollziehbar, wie er auf­grund dieser Tätig­keit ins Visier der türkischen Behörden ge­ra­ten sein soll. Der Beschwerdeführer führte an, er habe etwa zehn Mal freiwil­lig und kos­tenlos bewaffnete Milizio­näre der PKK transportiert (letzt­mals im Juni 2006). Aus Angst, von der Gendarmerie unterwegs kontrol­liert sowie zufolge seiner Dienstleis­tung für die PKK seitens der türki­schen Behörden belangt zu wer­den, habe er mit seiner Tätigkeit aufge­hört und das Land ver­lassen. Irgendwelche Festnahmen oder Denunziatio­nen machte er in diesem Zusammenhang allerdings nicht gel­tend (vgl. A16/9 S. 4 f.). Folg­lich ist nicht ersichtlich, inwiefern er ernst­hafte Nachteile von gewichtiger Intensität er­litten hat oder bei einer Rück­kehr in sein Heimatland er­leiden werde. Überdies gab er an, den letzten Trans­port für die PKK wahrscheinlich im Juni 2006 getätigt zu haben (vgl. A16/9 S. 5). Seine Abreise nach Istan­bul respektive seine Ausreise aus dem Heimatland erfolgte jedoch erst im Dezember des betreffenden Jah­res (vgl. A16/9 S. 6 f.), was seine damalige Furcht nicht akut erschei­nen lässt. Im Übrigen kann die Behauptung, er könne sich der PKK aufgrund seines familiären Hintergrunds kaum widersetzen, nicht gehört werden. Gemäss seinen Darstellungen handelt es sich beim Beschwerdefüh­rer nicht um ei­nen aktiv am bewaffneten Kampf der PKK Be­teiligten, sondern lediglich um eine Hilfsperson. Folglich ist mit beachtli­cher Wahrscheinlichkeit da­von auszugehen, dass die PKK den Be­schwer­deführer nicht als Abtrünni­gen verfolgen wird, zumal er kein be­sonderes Gefährdungsprofil aufweist und somit von geringem Interesse für die PKK ist.</w:t>
      </w:r>
    </w:p>
    <w:p>
      <w:r>
        <w:rPr>
          <w:b/>
        </w:rPr>
        <w:t>E. 5.3</w:t>
      </w:r>
    </w:p>
    <w:p>
      <w:r>
        <w:t>Des Weiteren ist die Frage des Bestehens einer begründeten Furcht des Beschwerdeführer vor Reflexverfolgung aufgrund der politi­schen Ver­gangenheit seines Vaters respektive der Familienangehörigen zu prüfen, zumal er seine Asylbegründung im Wesentlichen aus dem politischen Pro­fil seines Vaters sowie aus der Tatsache, [ein Verwandter] sei Märty­rer gewesen, ab­leitet.</w:t>
      </w:r>
    </w:p>
    <w:p>
      <w:r>
        <w:rPr>
          <w:b/>
        </w:rPr>
        <w:t>E. 5.3.1</w:t>
      </w:r>
    </w:p>
    <w:p>
      <w:r>
        <w:t>Das Bundesverwaltungsgericht geht - in Anlehnung an die Praxis der ARK - davon aus, dass in der Türkei staatliche Repressalien gegen Fa­mili­enangehörige von politischen Aktivisten existieren, die als soge­nannte Reflexverfolgung flüchtlingsrechtlich erheblich im Sinne von Art. 3 AsylG sein können. Die Wahrscheinlichkeit, Opfer einer Reflexverfolgung im dargelegten Sinne zu werden, ist nach weitergeführter Praxis der ARK vor allem gegeben, wenn nach einem flüchtigen Familienmitglied gefahn­det wird und die Behörde Anlass zur Vermutung hat, jemand stehe mit dem Gesuchten in engem Kontakt. Das Risiko erhöht sich zusätzlich, wenn ein nicht unbedeutendes politisches Engagement der reflexverfolg­ten Person für illegale politische Organisationen hinzukommt beziehungs­weise ihr sei­tens der Behörden unterstellt wird (vgl.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(EMARK 2005 Nr. 21 E. 10.2.3. S. 199 f., mit weiteren Hinwei­sen).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w:t>
      </w:r>
    </w:p>
    <w:p>
      <w:r>
        <w:rPr>
          <w:b/>
        </w:rPr>
        <w:t>E. 5.3.2</w:t>
      </w:r>
    </w:p>
    <w:p>
      <w:r>
        <w:t>Vorliegend steht fest, dass gegen den Vater des Beschwerdefüh­rers ein politisches Datenblatt mit dem Vermerk "unbequeme Person" we­gen Unterstützung der PKK besteht und er im Jahr (...) infolgedessen in der Schweiz Asyl erhalten hat. Der Beschwerdeführer gab zu Protokoll, er habe sich (...) und in der Folge Transportleistungen zu Gunsten der PKK erbracht. Aus Angst, hierfür seitens der türkischen Behör­den belangt zu werden und weil er sich der PKK nicht habe widerset­zen können, habe er im Dezember 2006 sein Heimatland ver­las­sen (vgl. A 16/9 S. 5, E. 5.2). Demnach geht das Bundesverwaltungs­ge­richt davon aus, dass der Beschwerdeführer zumin­dest zwei Jahre vor sei­ner Ausreise in der Türkei leben und gar ei­ner Tätigkeit nachge­hen konnte, ohne Repressalien seitens der türki­schen Behörden zu erleiden. Ein zeitlicher Kausalzusammenhang zwi­schen der Ausreise des Beschwer­deführers und der angeblich durch die tür­ki­schen Behörden erlitte­nen Reflexverfolgung seines Vaters beziehungsweise [ein Verwandter] wegen ist da­her nicht ersicht­lich. Folglich erübrigt es sich, auf die vom BFM festge­stell­ten angeblich di­vergierenden Angaben zu der zeitlicher Einord­nung der vom Beschwerde­führer angeblich erlittenen Verhaftungen einzuge­hen. Überdies geht aus den Akten hervor, dass die [Geschwister] des Be­schwerdeführers in der Türkei leben (vgl. A1/11 S. 3). Abgesehen von ei­nem geltend gemachten Vorfall, [Geschwisterteil] sei einmal festgenommen und nach etwa zwei Stunden wieder freigelassen worden, hätten die Ge­schwister allerdings keine Schwierigkeiten mit den Behörden gehabt (vgl. A1/11 S.7). Somit kann davon ausgegangen werden, dass auch der Be­schwerdeführer bei seiner Rückkehr keinen ernsthaften Nachteilen sei­tens der türkischen Behörden aus­gesetzt ist. Auch von einem allfälligen un­erträglichen psychischen Druck (vgl. Beschwerde S. 5, 7) ist nicht auszu­gehen, son­dern vielmehr von der Möglichkeit, dass der Beschwerde­führer in glei­cher Weise wie seine [Geschwister] in der Türkei leben kann. Dass er ledig ist und seine [Geschwister] verheiratet sind, ist vorliegend je­denfalls kein ausschlaggebendes Kriterium. Zudem ist den Akten zu ent­nehmen, dass das Asyl der Mutter des Be­schwerdeführers auf Antrag hin erloschen und ihr die Flüchtlingseigen­schaft aberkannt worden ist, damit sie Reisen in ihr Heimat­land unterneh­men könne; dieser Umstand spricht ebenfalls dafür, dass ein Aufenthalt in der Türkei möglich ist.</w:t>
      </w:r>
    </w:p>
    <w:p>
      <w:r>
        <w:rPr>
          <w:b/>
        </w:rPr>
        <w:t>E. 5.3.3</w:t>
      </w:r>
    </w:p>
    <w:p>
      <w:r>
        <w:t>Fraglich ist schliesslich, ob in casu Anhaltspunkte für Nachflucht­gründe bestehen. Vorliegend steht fest, dass gegen den Vater des Be­schwerdeführers ein politisches Datenblatt mit dem Vermerk "unbequeme Person" wegen Unterstützung der PKK in der Türkei besteht und er infolge­dessen im Jahr (...) in der Schweiz Asyl erhalten hat. Allerdings geht aus den Akten weder hervor, dass sich der Vater in der Schweiz exilpo­li­tisch betätigt, noch dass sich der Beschwerdeführer während sei­nes Auslandaufent­halts politisch exponiert habe. Bei dieser Ausgangslage er­scheint ein gegenwärtiges Ri­siko, aufgrund seines Aufent­halts in der Schweiz in seinem Heimatland einer Reflexverfolgung ausgesetzt zu sein, un­wahrscheinlich.</w:t>
      </w:r>
    </w:p>
    <w:p>
      <w:r>
        <w:rPr>
          <w:b/>
        </w:rPr>
        <w:t>E. 5.4</w:t>
      </w:r>
    </w:p>
    <w:p>
      <w:r>
        <w:t>Vor dem Hintergrund obiger Erwägungen vermögen mithin auch die übri­gen Ausführungen in der Rechtsmitteleingabe nicht zu überzeugen. Die Gründe, welche für die Richtigkeit der Sachverhaltsdarstellung des Be­schwerdeführers spre­chen, überwiegen folglich nicht. Die Vorinstanz hat aus die­sem Grund zu Recht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wohin die Rückkehr des Beschwerdeführers in Frage steht,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Wie in der Beschwerdeschrift zwar richtig ausgeführt wurde, gehen die türki­schen Sicherheitskräfte weiterhin mit grosser Härte gegen Mitglieder kurdischer Parteien und Organisationen vor, die als separatistisch qualifi­ziert werden. Wie oben stehend dargelegt, ist jedoch von keiner konkre­ten Gefährdung des Beschwerdeführers auszugehen. Zudem herrscht in der Türkei keine Situation allgemeiner Gewalt. Auch ist die dortige politi­sche Lage nicht dermassen angespannt, als dass eine Rückfüh­rung dort­hin als generell unzumutbar betrachtet werden müsste beziehungs­weise An­lass zur An­nahme einer konkreten Gefährdung be­stünde. Der Beschwerdeführer stammt aus B._______, wo er bis zu seiner Aus­reise gelebt habe. Sodann ver­füge er dort über ein Familien­netz; insofern kann von einer Unterstützung seitens der Familienmitglieder ausgegan­gen werden. Zudem besitze seine Familie ein Einfamilienhaus in B.________ (vgl. A16/9 S. 3), wes­halb auch seine Wohnsituation als gesichert gel­ten kann. Ei­genen Anga­ben zufolge habe er [Tätigkeit]. Angesichts des Al­ters und des soweit ak­tenkundig gu­ten Gesundheitszustandes des Be­schwerdeführers sowie sei­ner Berufs­erfahrung als [Beruf] ist davon aus­zugehen, dass er sich in seiner Hei­mat wieder in den Arbeitsmarkt integ­rieren wird. Folg­lich sind auch keine in­dividuellen Wegweisungshin­der­nisse ersichtlich, die den Vollzug der Weg­weisung als unzumutbar er­scheinen lassen.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7.6</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Mit Verfügung vom 7. März 2007 hiess das Bundesverwaltungsgericht das Ge­such um Gewährung der unentgeltlichen Rechtspflege im Sinne von Art. 65 Abs. 1 VwVG gut und verzichtete auf die Erhebung eines Kos­tenvor­schusses. In den Akten lassen sich keine Hinweise darauf finden, dass der Beschwerdeführer inzwischen nicht mehr bedürftig ist, wes­halb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