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E-144/2016 vom 26. Januar 2016</w:t>
      </w:r>
    </w:p>
    <w:p>
      <w:r>
        <w:t>Bundesverwaltungsgericht, 2016-01-26, DE</w:t>
      </w:r>
    </w:p>
    <w:p>
      <w:r>
        <w:rPr>
          <w:b/>
        </w:rPr>
        <w:t xml:space="preserve">Quelle: </w:t>
      </w:r>
      <w:r>
        <w:t>https://mcp.opencaselaw.ch/entscheid/bvger_E-144_2016</w:t>
      </w:r>
    </w:p>
    <w:p>
      <w:r>
        <w:t>FR: TAF E-144/2016 du 26 janvier 2016</w:t>
      </w:r>
    </w:p>
    <w:p>
      <w:r>
        <w:t>IT: TAF E-144/2016 del 26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die sri-lankischen Behörden hätten gegen ihn und seinen Freund wegen des Films Verfolgungsmassnahmen eingeleitet, würden den Anforderungen an die Glaubhaftigkeit gemäss Art. 7 AsylG nicht standhalten. Weiter seien den Akten keine Hinweise zu entnehmen, dass die damaligen Befehlshaber und der ehemalige Verteidigungsminister vom Film, bei dem der Beschwerdeführer als Produzent mitgewirkt habe, überhaupt Kenntnis hätten, oder dass jene Personen etwas gegen den Beschwerdeführer unternommen hätten oder dies zukünftig tun würden. Zudem könnten die sri-lankischen Behörden den Beschwerdeführer schützen, sollte er jemals Probleme wegen dieses Filmes bekommen. Am Film habe er sich lediglich finanziell beteiligt. Journalistische Aktivitäten würden aus den Akten keine hervorgehen, weshalb der Beschwerdeführer nicht wie behauptet, zur Risikogruppe der Medienschaffenden zu zählen sei. Es gebe keinen hinreichend begründeten Anlass, dass er Massnahmen zu befürchten habe, welche über den sogenannten "background check" hinausgehen würden. Seine weiteren Vorbringen würden deshalb den Anforderungen an die Flüchtlingseigenschaft gemäss Art. 3 AsylG nicht standhalten.</w:t>
      </w:r>
    </w:p>
    <w:p>
      <w:r>
        <w:rPr>
          <w:b/>
        </w:rPr>
        <w:t>E. 4.2</w:t>
      </w:r>
    </w:p>
    <w:p>
      <w:r>
        <w:t>Der Beschwerdeführer wendet dagegen ein, aus dem Bericht der Schweizerischen Flüchtlingshilfe vom 16. Juni 2015 gehe klar hervor, dass der Schutz der Minderheiten und die Unabhängigkeit von staatlichen Aufsichtsbehörden in Sri Lanka weiterhin problematisch sei. Verschiedene Menschenrechtsaktivisten könnten bestätigen, dass die Sicherheitskräfte die tamilische Bevölkerung auch im Jahr 2015 überwachen würden. Zudem habe das Criminal Investigation Department (CID) am Flughafen Colombo eine 24-Stunden-Präsenz aufgebaut. Rückkehrer, die ein Asylgesuch gestellt hätten, seien deshalb besonders gefährdet. So seien auch unter der neuen Regierung tamilische Rückkehrer verhaftet worden. Obwohl er selbst der singhalesischen Bevölkerung angehöre, zeige dies auf, dass die Sicherheit ehemaliger Regierungskritiker in keiner Art und Weise gewährleistet sei. Es sei fraglich, wie er überhaupt beweisen könne, dass gegen ihn geheime Untersuchungsmassnahmen laufen würden. Aufgrund seiner regierungskritischen Haltung sei davon auszugehen, dass er von den sri-lankischen Behörden verfolgt werde und sich deren Schikanen unterziehen müsste. Er erfülle deshalb sehr wohl die Anforderungen an die Flüchtlingseigenschaft.</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beziehungsweise nicht asylrelevant ist. Der Beschwerdeführer setzt sich mit der angefochtenen Verfügung nicht auseinander und zeigt nicht auf, inwiefern sie Bundesrecht verletzen oder zu einer rechtsfehlerhaften Sachverhaltsfeststellung führen soll. Solches ist auch nicht ersichtlich. Die Vorinstanz stellt zutreffend fest, dass nicht glaubhaft sei, dass die sri-lankischen Behörden wegen des Films, bei dem er als Produzent mitgewirkt hat, Verfolgungsmassnahmen gegen ihn eingeleitet hätten. So zeigen die von der Vorinstanz eingeleiteten Abklärungen, dass es sich bei der vom Beschwerdeführer eingereichten Vorladung der Polizei um eine Fälschung handelt (SEM-Akten, B9/4). Die Erklärungen der Vorinstanz, warum es sich um eine Fälschung handelt, sind nachvollziehbar und durchdacht. Zudem führt die Vor­instanz weiter aus, dass Abklärungen bei führenden Menschenrechtsaktivisten ergeben hätten, dass der Beschwerdeführer aufgrund des Regimewechsels keine Verfolgungsmassnahmen zu befürchten habe. Der Beschwerdeführer kann alledem nichts entgegenstellen. Es ist daher nicht glaubhaft, dass die Behörden in Sri Lanka bereits Verfolgungsmassnahmen gegen ihn oder seinen Freund wegen des vorgenannten Filmes eingeleitet haben. Ebenfalls zu verneinen ist, dass der Beschwerdeführer bei einer Rückkehr nach Sri Lanka begründete Furcht vor asylrelevanten Verfolgungsmassnahmen hat. Die Vorinstanz hält zutreffend fest, dass der Beschwerdeführer einzig aufgrund der finanziellen Unterstützung des Filmes seines Freundes nicht zur Risikogruppe der Medienschaffenden gehöre, wie sie das Bundesverwaltungsgericht in BVGE 2011/24 definiert hat. Ebenfalls zutreffend sind die Ausführungen der Vorinstanz, dass keine Anhaltspunkte dafür bestehen, dass der ehemalige Verteidigungsminister von Sri Lanka oder andere Personen, die mit dem im Film geschilderten Sachverhalt in Verbindung stehen, von diesem Film überhaupt Kenntnis haben und bisher etwas gegen den Beschwerdeführer unternommen haben oder zukünftig unternehmen würden. Hierzu ist auf die zutreffenden Erwägungen in der angefochtenen Verfügung zu verweisen. Die Ausführungen des Beschwerdeführers auf Beschwerdeebene, wonach Angehörige der tamilischen Ethnie weiterhin vom CID überwacht und schikaniert werden würden, betreffen den Beschwerdeführer, der Singhalese ist, nicht. Aus demselben Grund kann er aus dem eingereichten Bericht der Schweizerischen Flüchtlingshilfe nichts zu seinen Gunsten ableiten. Bezüglich der weiteren während dem vorinstanzlichen Verfahren eingereichten Beweismittel ist auf die korrekte Würdigung der Vorinstanz in der angefochtenen Verfügung zu verweisen.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w:t>
      </w:r>
    </w:p>
    <w:p>
      <w:r>
        <w:rPr>
          <w:b/>
        </w:rPr>
        <w:t>E. 4.4</w:t>
      </w:r>
    </w:p>
    <w:p>
      <w:r>
        <w:t>Zusammenfassend hat der Beschwerdeführer nichts vorgebracht, was geeignet wäre, die Flüchtlingseigenschaft nachzuweisen oder zumindest glaubhaft zu machen. Die Vorinstanz hat sein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6.3.1</w:t>
      </w:r>
    </w:p>
    <w:p>
      <w:r>
        <w:t>In Sri Lanka herrscht weder Krieg noch eine Situation allgemeiner Gewalt. Der bewaffnete Konflikt zwischen der sri-lankischen Regierung und den LTTE (Liberation Tigers of Tamil Eelam) ist im Mai 2009 zu Ende gegangen. Auf eine Beurteilung der Situation und der Zumutbarkeit in Bezug auf das Vanni-Gebiet kann hier verzichtet werden, stammt der Beschwerdeführer doch aus C._______ im Grossraum Colombo (zur Problematik Vanni-Gebiet und Zumutbarkeit der Wegweisung: BVGE 2011/24 E. 12-13). Es kann davon ausgegangen werden, dass er die Möglichkeit hat, sich in dieser Region erneut niederzulassen. Im Übrigen handelt es sich in der Person des Beschwerdeführers um einen Mann im mittleren Alter mit einer guten Schulbildung und Arbeitserfahrung. Sodann hat er ein Beziehungsnetz beziehungsweise Familienangehörige (unter anderem seine Frau und seine Kinder) in Sri Lanka, auf deren Unterstützung er zählen kann.</w:t>
      </w:r>
    </w:p>
    <w:p>
      <w:r>
        <w:rPr>
          <w:b/>
        </w:rPr>
        <w:t>E. 6.3.2</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 Aus dem eingereichten Austrittsbericht der universitären psychiatrischen Dienste Bern vom 25. November 2015 geht hervor, dass sich der Beschwerdeführer vom 4. November 2015 bis am 2. Dezember 2015 in psychiatrischer Pflege befand. Diagnostiziert nach ICD-10 wurden Anpassungsstörungen mit depressiver Reaktion bei sozialer und beruflicher Belastungssituation. Nach einer deutlichen Stabilisierung habe der Patient wieder entlassen werden können. Gemäss dem Arztzeugnis vom 12. Januar 2016 befindet sich der Beschwerdeführer seit dem 19. Dezember 2015 wiederum in stationärer Behandlung im Psychiatriezentrum Münsingen. Der behandelnde Arzt hält im Zeugnis fest, dass der Austrittszeitpunkt nicht angegeben werden könne, ein zeitnaher Austritt jedoch eher unwahrscheinlich sei. Eine Diagnose wird nicht genannt.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abgerufen am 26. Januar 2016). In einem Artikel in der sri-lankischen Tageszeitung The Sunday Times vom Oktober 2013 wird die nationale Mental Health Direktorin zitiert, welche auf einen Mangel und die ungleiche Verteilung von geschultem Personal in Sri Lanka hinweist. Es gebe in Sri Lanka nur 67 Psychiater und 60 Prozent würden in der Westprovinz arbeiten (The Sundaytimes Sri Lanka, Poor mental health: National institute can't cope with the demand, 06.10.2013, http://www.sundaytimes.lk/131006/news/poor-mental-health-national-institute-cant-cope-with-the-demand-64878.html, abgerufen am 26. Januar 2016). Zudem befindet sich das National Institut of Mental Health in Colombo. Dieses auf psychische Erkrankungen ausgerichtet Spital verfügt über 1029 Betten (Sri Lankan Ministery of Health, Performance and Progress Report 2012-2013, undatiert, http://www.health.gov.lk/en/publication/P-PReport2012.pdf/PerformanceReport2012-E.pdf, abgerufen am 26. Januar 2016). Der Beschwerdeführer war bereits einen Monat in stationärer Behandlung. Seit dem 19. Dezember 2015 ist der Beschwerdeführer erneut in psychiatrischer Behandlung. Aus welchen Gründen geht es dem eingereichten Zeugnis nicht hervor. Diese Therapie kann nötigenfalls auch engmaschiger bis zur Ausreise fortgesetzt werden. Dabei hat der Beschwerdeführer die Möglichkeit, sich zusammen mit dem ihn bereits betreuenden Arzt gezielt auf einen Vollzug der Wegweisung und auf eine Rückkehr ins Heimatland, namentlich nach C._______ im Grossraum Colombo, vorzubereiten. Zudem wird es im Rahmen der Vorbereitung der Rückkehr auch möglich sein, den Beschwerdeführer mit einem Vorrat an benötigten Medikamenten zu versorgen. Schliesslich können im Hinblick auf die Rückführung seitens der Vollzugsbehörden geeignete Massnahmen ergriffen werden, um die Umsetzung allfälliger Suizidabsichten zu verhindern. Damit liegen auch insoweit keine Vollzugshindernisse vor. In Anbetracht dessen kann davon ausgegangen werden, dass die psychische Krankheit des Beschwerdeführers, der in der Westprovinz beheimatet ist, auch in Sri Lanka behandelt werden kann.</w:t>
      </w:r>
    </w:p>
    <w:p>
      <w:r>
        <w:rPr>
          <w:b/>
        </w:rPr>
        <w:t>E. 6.3.3</w:t>
      </w:r>
    </w:p>
    <w:p>
      <w:r>
        <w:t>Zusammenfassend sind keine Gründe im Sinne der Rechtsprechung gegeben, die annehmen liessen, der Beschwerdeführer könnte bei einer Rückkehr nach Sri Lanka in eine existenzielle Notlage geraten. Im Übrigen steht es ihm frei, einen Antrag auf individuelle Rückkehrhilfe zu stellen (vgl. Art. 93 Abs. 1 Bst. d AsylG i.V.m. Art. 73 ff. AsylV 2 [SR 142.312]). Der Wegweisungsvollzug ist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