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E-1449/2010 vom 6. April 2010</w:t>
      </w:r>
    </w:p>
    <w:p>
      <w:r>
        <w:t>Bundesverwaltungsgericht, 2010-04-06, DE</w:t>
      </w:r>
    </w:p>
    <w:p>
      <w:r>
        <w:rPr>
          <w:b/>
        </w:rPr>
        <w:t xml:space="preserve">Quelle: </w:t>
      </w:r>
      <w:r>
        <w:t>https://mcp.opencaselaw.ch/entscheid/bvger_E-1449_2010</w:t>
      </w:r>
    </w:p>
    <w:p>
      <w:r>
        <w:t>FR: TAF E-1449/2010 du 6 avril 2010</w:t>
      </w:r>
    </w:p>
    <w:p>
      <w:r>
        <w:t>IT: TAF E-1449/2010 del 6 aprile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 - soweit darauf eingetreten wird.</w:t>
      </w:r>
    </w:p>
    <w:p>
      <w:r>
        <w:rPr>
          <w:b/>
        </w:rPr>
        <w:t>E. 2</w:t>
      </w:r>
    </w:p>
    <w:p>
      <w:r>
        <w:t>Der Antrag auf Einräumung einer 30-tägigen Nachfrist zur Einreichung von weiteren Beweismitteln wird abgewiesen.</w:t>
      </w:r>
    </w:p>
    <w:p>
      <w:r>
        <w:rPr>
          <w:b/>
        </w:rPr>
        <w:t>E. 3</w:t>
      </w:r>
    </w:p>
    <w:p>
      <w:r>
        <w:t>Das Gesuch um Gewährung der unentgeltlichen Rechtspflege wird abgewiesen.</w:t>
      </w:r>
    </w:p>
    <w:p>
      <w:r>
        <w:rPr>
          <w:b/>
        </w:rPr>
        <w:t>E. 4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5</w:t>
      </w:r>
    </w:p>
    <w:p>
      <w:r>
        <w:t>Dieses Urteil geht an den Rechtsvertreter, das BFM und die zuständige kantonale Behörde. Die vorsitzende Richterin: Die Gerichtsschreiberin: Muriel Beck Kadima Stella Boleki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