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E-143/2014 vom 21. Januar 2014</w:t>
      </w:r>
    </w:p>
    <w:p>
      <w:r>
        <w:t>Bundesverwaltungsgericht, 2014-01-21, DE</w:t>
      </w:r>
    </w:p>
    <w:p>
      <w:r>
        <w:rPr>
          <w:b/>
        </w:rPr>
        <w:t xml:space="preserve">Quelle: </w:t>
      </w:r>
      <w:r>
        <w:t>https://mcp.opencaselaw.ch/entscheid/bvger_E-143_2014</w:t>
      </w:r>
    </w:p>
    <w:p>
      <w:r>
        <w:t>FR: TAF E-143/2014 du 21 janvier 2014</w:t>
      </w:r>
    </w:p>
    <w:p>
      <w:r>
        <w:t>IT: TAF E-143/2014 del 21 gennaio 2014</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Beim Entscheid über die Zuweisung einer asylsuchenden Person an einen Kantons gemäss Art. 27 Abs. 3 AsylG handelt es sich um eine beim Bundesverwaltungsgericht selbständig anfechtbare Zwischenverfügung (Art. 107 Abs. 1 AsylG).</w:t>
      </w:r>
    </w:p>
    <w:p>
      <w:r>
        <w:rPr>
          <w:b/>
        </w:rPr>
        <w:t>E. 1.3</w:t>
      </w:r>
    </w:p>
    <w:p>
      <w:r>
        <w:t>Die Beschwerdeführerin ist als Verfügungsadressatin zur Beschwerdeführung legitimiert (Art. 48 VwVG). Auf die frist- und formgerecht eingereichte Beschwerde (Art. 108 Abs. 1 AsylG und Art. 52 VwVG und)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27 Abs. 3 letzter Satz AsylG - welcher als lex specialis der allgemeinen Regel von Art. 106 Abs. 1 AsylG vorgeht (Art. 106 Abs. 2 AsylG) - kann der Zuweisungsentscheid nur mit der Begründung angefochten werden, er verletze den Grundsatz der Einheit der Familie.</w:t>
      </w:r>
    </w:p>
    <w:p>
      <w:r>
        <w:rPr>
          <w:b/>
        </w:rPr>
        <w:t>E. 4.2</w:t>
      </w:r>
    </w:p>
    <w:p>
      <w:r>
        <w:t>Auf den Schutz von Art. 8 der Konvention vom 4. November 1950 zum Schutze der Menschenrechte und Grundfreiheiten (EMRK, SR 0.101) können sich neben den Mitgliedern der Kernfamilie (Ehegatten und ihre minderjährigen Kinder) auch weitere nahe Angehörige wie Onkel/Tante und Neffe/Nichte berufen, sofern eine nahe, echte und tatsächlich gelebte Beziehung unter ihnen besteht. Gemäss bundesgerichtlicher Rechtsprechung setzt eine über die eigentliche Kernfamilie hinaus gehende schützenswerte verwandtschaftliche Beziehung voraus, dass zwischen diesen Personen ein besonderes Abhängigkeitsverhältnis besteht (vgl. BVGE 2008/47 E. 4.1.1).</w:t>
      </w:r>
    </w:p>
    <w:p>
      <w:r>
        <w:rPr>
          <w:b/>
        </w:rPr>
        <w:t>E. 5.1</w:t>
      </w:r>
    </w:p>
    <w:p>
      <w:r>
        <w:t>Die Vorinstanz gelangt in der angefochtenen Verfügung zum Schluss, dass sich die Beschwerdeführerin, nachdem sie sich vom Vater ihrer drei Kinder getrennt habe, nicht mehr auf den Grundsatz der Einheit der Familie berufen könne und dass zudem keine schwerwiegende Gefährdung im Sinne von Art. 22 Abs. 2 AsylV1 vorliege.</w:t>
      </w:r>
    </w:p>
    <w:p>
      <w:r>
        <w:rPr>
          <w:b/>
        </w:rPr>
        <w:t>E. 5.2</w:t>
      </w:r>
    </w:p>
    <w:p>
      <w:r>
        <w:t>In der Rechtsmitteleingabe wiederholt die Beschwerdeführerin im Wesentlichen ihre Vorbringen. Damit setzt sie sich mit der Begründung der angefochtenen Verfügung nicht auseinander und zeigt nicht auf, inwiefern der Grundsatz der Einheit der Familie verletzt sein soll. Solches ist auch nicht zu ersehen. Weder aus den Akten noch aus der Rechtsmitteleingabe geht hervor, dass es sich bei den Verwandten im Kanton Zürich um Mitglieder der Kernfamilie handelt oder ein besonderes Abhängigkeitsverhältnis zwischen den Familienmitgliedern bestehen würde. Ebenso wenig vermag die Beschwerdeführerin darzulegen, inwiefern ein Fall schwerwiegender Gefährdung vorliegen könnte, der einen Kantonswechsel erfordern würde. Der Wunsch, in der Nähe der Verwandten zu wohnen und insoweit von deren Unterstützung profitieren zu können, ist zwar verständlich, stellt aber keinen gesetzlichen Grund für einen Kantonswechsel dar. Die Vorinstanz hat somit das Gesuch um einen Wechsel in den Kanton Zürich zu Recht abgelehnt.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