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E-1438/2018 vom 5. April 2018</w:t>
      </w:r>
    </w:p>
    <w:p>
      <w:r>
        <w:t>Bundesverwaltungsgericht, 2018-04-05, DE</w:t>
      </w:r>
    </w:p>
    <w:p>
      <w:r>
        <w:rPr>
          <w:b/>
        </w:rPr>
        <w:t xml:space="preserve">Quelle: </w:t>
      </w:r>
      <w:r>
        <w:t>https://mcp.opencaselaw.ch/entscheid/bvger_E-1438_2018</w:t>
      </w:r>
    </w:p>
    <w:p>
      <w:r>
        <w:t>FR: TAF E-1438/2018 du 5 avril 2018</w:t>
      </w:r>
    </w:p>
    <w:p>
      <w:r>
        <w:t>IT: TAF E-1438/2018 del 5 aprile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(vgl. Markus Müller, in: Auer/Müller/Schindler [Hrsg.], Kommentar zum Bundesgesetz über das Verwaltungsverfahren [VwVG], 2008, Rz. 3 zu Art. 46a). Das Bundesverwaltungsgericht ist zur Beurteilung der vorliegenden Rechtsverzögerungsbeschwerde somit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 H.). Da die Beschwerdeführenden um Asyl in Form einer anfechtbaren Verfügung ersuchten, sind sie zur Beschwerdeführung legitimiert.</w:t>
      </w:r>
    </w:p>
    <w:p>
      <w:r>
        <w:rPr>
          <w:b/>
        </w:rPr>
        <w:t>E. 1.3</w:t>
      </w:r>
    </w:p>
    <w:p>
      <w:r>
        <w:t>Gegen das unrechtmässige Verweigern oder Verzögern einer Verfügung kann jederzeit Beschwerde geführt werden (Art. 50 Abs. 2 VwVG). Die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den Beschwerdeführenden zumutbaren Sorgfaltspflicht. Verweigert die Behörde ausdrücklich den Erlass einer Verfügung, so ist nach diesen Grundsätzen innerhalb der gesetzlichen Frist von 30 Tagen Beschwerde zu erheben (vgl. BVGE 2008/15; Markus Müller, a.a.O., Rz. 10 zu Art. 46a; René Rhinow/Heinrich Koller/Christina Kiss/Daniela Thurnherr/Denise Brühl-Moser, Öffentliches Prozessrecht, 2. Aufl., 2010, Rz. 1606). Aufgrund des Schreibens vom 6. Februar 2018 durften die Beschwerdeführenden nach Treu und Glauben annehmen, dass die Vorinstanz in ihrer Sache vorderhand nicht tätig wird.</w:t>
      </w:r>
    </w:p>
    <w:p>
      <w:r>
        <w:rPr>
          <w:b/>
        </w:rPr>
        <w:t>E. 1.4</w:t>
      </w:r>
    </w:p>
    <w:p>
      <w:r>
        <w:t>Gestützt auf die vorstehenden Erwägungen ist auf die formgerecht eingereichte (Art. 52 Abs. 1 VwVG) Rechtsverzögerungsbeschwerde einzutreten.</w:t>
      </w:r>
    </w:p>
    <w:p>
      <w:r>
        <w:rPr>
          <w:b/>
        </w:rPr>
        <w:t>E. 2</w:t>
      </w:r>
    </w:p>
    <w:p>
      <w:r>
        <w:t>Die Prüfungsbefugnis des Bundesverwaltungsgerichts beschränkt sich im Rahmen einer Rechtsverzögerungsbeschwerde auf die Frage, ob das Gebot des Rechtsschutzes in angemessener Zeit im konkreten Fall verletzt worden ist oder nicht. Im Falle einer Gutheissung der Beschwerde weist das Gericht die Sache mit verbindlichen Weisungen an die Vorinstanz zurück (Art. 61 Abs. 1 VwVG). Eine andere Möglichkeit, den rechtmässigen Zustand herzustellen, gibt es nicht; insbesondere hat sich das Gericht jeglicher Andeutung, wie der unrechtmässig verzögerte Entscheid inhaltlich ausfallen soll, zu enthalten, da es unter Vorbehalt von speziellen Konstellationen nicht anstelle der untätigen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3.2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Markus Müller, a.a.O., Rz. 6 zu Art. 46a; BGE 130 I 312 E. 5.1 und 5.2 m.w.H.). Ein Verschulden der Behörde an der Verzögerung wird nicht vorausgesetzt, weshalb sie das Rechtsverzögerungsverbot auch dann verletzt, wenn sie wegen Personalmangels oder Überlastung nicht innert angemessener Frist handelt (vgl. BGE 130 I 312 E. 5.2, BGE 107 Ib 160 E. 3c; 103 V 190 E. 5c; vgl. auch Auer/Malinverni/Hottelier, Droit constitutionnel suisse, Bd. II, 2. Aufl. 2006, Rz. 1277 f., Michel Hottelier, Les garanties de procédure, in: Thürer/Aubert/Müller, Verfassungsrecht der Schweiz, Droit constitutionnel suisse, 2001, Rz. 7). Spezialgesetzliche Behandlungsfristen sind bei der Beurteilung der Angemessenheit der Verfahrensdauer zu berücksichtigen.</w:t>
      </w:r>
    </w:p>
    <w:p>
      <w:r>
        <w:rPr>
          <w:b/>
        </w:rPr>
        <w:t>E. 4.1</w:t>
      </w:r>
    </w:p>
    <w:p>
      <w:r>
        <w:t>Gemäss Art. 29 Abs. 1 Bst. b AsylG hört das SEM die Asylsuchenden innerhalb von 20 Tagen nach dem Entscheid über die Zuweisung in den Kanton zu den Asylgründen an. Materiell ist über Asylgesuche erstinstanzlich in der Regel innerhalb von zehn Arbeitstagen nach der Gesuchstellung zu entscheiden (Art. 37 Abs. 2 AsylG).</w:t>
      </w:r>
    </w:p>
    <w:p>
      <w:r>
        <w:rPr>
          <w:b/>
        </w:rPr>
        <w:t>E. 4.2</w:t>
      </w:r>
    </w:p>
    <w:p>
      <w:r>
        <w:t>Das Bundesverwaltungsgericht ist in Kenntnis der von der Vorinstanz getroffenen Massnahmen zur Beschleunigung der Verfahren, ebenso der nach wie vor hohen Pendenzenzahl. Dass dennoch gewisse Verfahren länger dauern und nicht innerhalb der Behandlungsfristen von Art. 37 Abs. 2 AsylG abgeschlossen werden können, ist unvermeidbar und nachvollziehbar. Dies kommt auch aus der Formulierung "in der Regel" in Art. 37 Abs. 2 AsylG zum Ausdruck. Keine solche Relativierung kennt die Bestimmung von Art. 29 Abs. 1 AsylG betreffend die Frist zur Anhörung zu den Asylgründen, auch wenn es sich dabei um eine blosse Ordnungsfrist handelt.</w:t>
      </w:r>
    </w:p>
    <w:p>
      <w:r>
        <w:rPr>
          <w:b/>
        </w:rPr>
        <w:t>E. 4.3</w:t>
      </w:r>
    </w:p>
    <w:p>
      <w:r>
        <w:t>Die Beschwerdeführenden haben am 30. Oktober 2015 um Asyl nachgesucht. Am 4. November 2015 wurden sie zur Person befragt. Gemäss einer Aktennotiz vom gleichen Tag wurde die BzP stark verkürzt durchgeführt. Am 7. Dezember 2015 teilte die Vorinstanz den Beschwerdeführenden mit, das Dublin-Verfahren sei beendet worden und das nationale Asyl- und Wegweisungsverfahren werde durchgeführt; ihre Asylgesuche würden in der Schweiz geprüft. Seither erfolgten keine weiteren Verfahrensschritte und es sind zwei Jahre und vier Monate vergangen. Die Anhörung der asylsuchenden Person zu ihren Asylgründen stellt den Kernpunkt der Sachverhaltsfeststellung und damit die Grundlage für die rechtliche Beurteilung der Asylvorbringen dar. Sie sollte daher möglichst zeitnah zur Asylgesuchstellung erfolgen. Seit Einreichung der Asylgesuche hat noch keine Befragung zu den Asylgründen nach Art. 29 AsylG stattgefunden. Am 1. Februar 2018 ersuchten die Beschwerdeführenden die Vorinstanz deshalb um Anhandnahme ihres Verfahrens. Die Vorinstanz antwortete darauf unter Verweis auf die hohen Pendenzen und dass das von den Beschwerdeführenden gewählte Vorgehen zu stossenden Änderungen der Prioritätenordnung führe. Sodann stellte es fest, vorliegend seien keine triftigen Gründe für eine prioritäre Behandlung ersichtlich. Zunächst ist festzustellen, dass das Verfahren bereits 28 Monate dauert. Allein die grosse Geschäftsdauer vermag eine solche lange Untätigkeit nicht zu rechtfertigen. Sodann ist aufgrund der Antwort der Vorinstanz vom 1. Februar 2018 davon auszugehen, dass sie das Dossier der Beschwerdeführenden nicht konsultiert hat. Dabei hätte ihr nämlich auffallen müssen, dass die Beschwerdeführenden bislang noch gar nie zu ihren Asylgründen befragt worden waren, nicht einmal bei der BzP. Vor dem Hintergrund eines möglichen Dublin-Verfahrens hatte die Vorinstanz gänzlich auf die Befragung zu den Gesuchsgründen verzichtet. Weiter hätte die Vor-instanz erkennen müssen, dass die inzwischen 15-jährige Tochter der Beschwerdeführenden am Verfahren beteiligt ist, mithin das Kindeswohl zu berücksichtigen ist. Es ist somit festzustellen, dass die Vorinstanz seit Beendigung des Dublinverfahrens und Einleitung des nationalen Verfahrens keine Verfahrensschritte mehr unternommen hat. Seit Einreichung der Asylgesuche sind demnach 28 Monate vergangen, ohne dass die Beschwerdeführenden zu den Asylgründen befragt wurden. Weiter liegen triftige Gründe für eine prioritäre Behandlung vor.</w:t>
      </w:r>
    </w:p>
    <w:p>
      <w:r>
        <w:rPr>
          <w:b/>
        </w:rPr>
        <w:t>E. 4.4</w:t>
      </w:r>
    </w:p>
    <w:p>
      <w:r>
        <w:t>Eine Nichtbehandlung bei den vorliegenden Umständen während einer solch langen Zeit ist unbesehen allfälliger anderer überzeitiger Verfahren zu lange. Das Beschleunigungsgebot von Art. 29 Abs. 1 BV ist somit verletzt. Die Rüge der Rechtsverzögerung erweist sich als begründet.</w:t>
      </w:r>
    </w:p>
    <w:p>
      <w:r>
        <w:rPr>
          <w:b/>
        </w:rPr>
        <w:t>E. 5</w:t>
      </w:r>
    </w:p>
    <w:p>
      <w:r>
        <w:t>Die Beschwerde ist gutzuheissen. Die Akten gehen an die Vorinstanz zurück, verbunden mit der Anweisung, das Asylgesuch der Beschwerdeführenden vom 30. Oktober 2015 beförderlich zu behandeln und rasch einer Verfügung zuzuführen. Dem Bundesverwaltungsgericht ist es verwehrt, konkrete Amtshandlungen auf Rechtsverzögerungsbeschwerde hin anzuordnen. Dem Begehren der Beschwerdeführenden auf Anweisung der Vorinstanz, sie zu einer Anhörung vorzuladen, kann daher nur insoweit entsprochen werden, als die verbindliche Weisung zur beförderlichen Behandlung des Asylgesuchs ergeht.</w:t>
      </w:r>
    </w:p>
    <w:p>
      <w:r>
        <w:rPr>
          <w:b/>
        </w:rPr>
        <w:t>E. 6</w:t>
      </w:r>
    </w:p>
    <w:p>
      <w:r>
        <w:t>Bei diesem Ausgang des Verfahrens sind keine Kosten zu erheben (Art. 63 Abs. 1 und 2 VwVG).</w:t>
      </w:r>
    </w:p>
    <w:p>
      <w:r>
        <w:rPr>
          <w:b/>
        </w:rPr>
        <w:t>E. 7</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eingereicht, weshalb die notwendigen Parteikosten aufgrund der Akten zu bestimmen sind (Art. 14 Abs. 2 in fine VGKE). Gestützt auf die in Betracht zu ziehenden Bemessungsfaktoren (Art. 9-13 VGKE) ist den Beschwerdeführenden zulasten der Vorinstanz eine Parteientschädigung von insgesamt Fr. 400.-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