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E-1431/2018 vom 31. Mai 2018</w:t>
      </w:r>
    </w:p>
    <w:p>
      <w:r>
        <w:t>Bundesverwaltungsgericht, 2018-05-31, DE</w:t>
      </w:r>
    </w:p>
    <w:p>
      <w:r>
        <w:rPr>
          <w:b/>
        </w:rPr>
        <w:t xml:space="preserve">Quelle: </w:t>
      </w:r>
      <w:r>
        <w:t>https://mcp.opencaselaw.ch/entscheid/bvger_E-1431_2018</w:t>
      </w:r>
    </w:p>
    <w:p>
      <w:r>
        <w:t>FR: TAF E-1431/2018 du 31 mai 2018</w:t>
      </w:r>
    </w:p>
    <w:p>
      <w:r>
        <w:t>IT: TAF E-1431/2018 del 31 maggio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Zu prüfen ist zunächst, ob das SEM den Antrag der Beschwerdeführenden auf amtliche Rechtsverbeiständung in der Person ihres Rechtsvertreters im Sinne von Art. 65 Abs. 2 VwVG mit (nicht selbständig anfechtbarer) Zwischenverfügung vom 22. November 2017 zu Recht abgewiesen hat. In der angefochtenen Zwischenverfügung wurde von der prozessualen Bedürftigkeit der Beschwerdeführenden ausgegangen und festgestellt, dass das Wiedererwägungsgesuch nicht von vornherein als aussichtslos bezeichnet werden könne. Die Begründung für die Abweisung des Antrags unter Hinweis auf die Rechtsprechung der (vormaligen) Schweizerischen Asylrekurskommission (Entscheidungen und Mitteilungen der Schweizerischen Asylrekurskommission [EMARK] 2001 Nr. 11 E. 5 und 6) erweist sich dann allerdings als unzutreffend. Insbesondere ging es im EMARK 2001 Nr. 11 zugrunde liegenden Verfahren nicht um ein Wiedererwägungs-, sondern um ein ordentliches erstinstanzliches Asylverfahren. Zudem tätigte das SEM vorliegend umfangreichen Abklärungen (unter anderem auch eine Botschaftsanfrage und eine Anhörung zu den Asylgründen der Beschwerdeführerin), weshalb sich offenbar im erstinstanzlichen Wiedererwägungsverfahren durchaus schwierige Sach- und - wie nachstehend aufzuzeigen sein wird - auch Rechtsfragen stellten. Das Argument, die amtliche Beiordnung eines Rechtsbeistandes ausserhalb des Beschwerdeverfahrens sei in aller Regel auch deshalb nicht notwendig, weil das SEM gemäss Untersuchungs- und Offizialmaxime von Amtes wegen den rechtserheblichen Sachverhalt festzustellen und das Recht anzuwenden habe, trifft gerade nicht zu, zumal es sich bei einem Wiedererwägungsgesuch um ein ausserordentliches Rechtsmittel handelt, bei dem nicht der Untersuchungsgrundsatz, sondern das Rügeprinzip zur Anwendung gelangt. Zudem kommt einem Wiedererwägungsgesuch in Bezug auf die Vollstreckbarkeit der in Rechtskraft erwachsenen Verfügung von Gesetzes wegen keine aufschiebende Wirkung zu. Demzufolge hat das SEM den Antrag des Rechtsvertreters auf Einsetzung seiner Person als amtlicher Rechtsbeistand zu Unrecht abgewiesen. Bei dieser Sachlage ist die Zwischenverfügung vom 22. November 2017 aufzuheben und die Vorinstanz anzuweisen, den Rechtsvertreter für das erstinstanzliche Wiedererwägungsverfahren als amtlichen Rechtsbeistand einzusetzen sowie entsprechend mit einem amtlichen Honorar zu entschädigen. Diesbezüglich wird auf die als Beilage 5 zur Beschwerde eingereichte Kostennote vom 8. März 2018 verwiesen. Es wird Sache des Staatssekretariates sein, zu prüfen, ob die zu den Akten gereichte Kostennote angemessen ist.</w:t>
      </w:r>
    </w:p>
    <w:p>
      <w:r>
        <w:rPr>
          <w:b/>
        </w:rPr>
        <w:t>E. 5.2</w:t>
      </w:r>
    </w:p>
    <w:p>
      <w:r>
        <w:t>In Bezug auf den ablehnenden Wiedererwägungsentscheid im Asylpunkt (Dispositivziffer 1 der Verfügung vom 5. Februar 2018) ist zu prüfen, ob die Vorinstanz die Eingabe vom 2. August 2016 überhaupt zu Recht als Wiedererwägungsgesuch im Sinne von Art. 111b AsylG an die Hand genommen hat. Das Bundesverwaltungsgericht hat in BVGE 2014/39 E. 4.6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Mehrfachgesuch dar, wobei nach altem Recht eine solche Wiedererwägung ihre spezielle gesetzliche Grundlage in den Regeln betreffend Entgegennahme eines zweiten Asylgesuches im Sinne von aArt. 32 Abs. 2 Bst. e AsylG fand (a.a.O. E. 4.5). Demnach liegt ein Wiedererwägungsgesuch dann vor, wenn ein Gesuch um Neubeurteilung einer rechtskräftigen Asyl- und Wegweisungsverfügung ausschliesslich mit neuen Wegweisungsvollzugshindernissen begründet wird. Ein Mehrfachgesuch liegt dann vor, wenn die gesuchstellende Person geltend macht, sie erfülle aufgrund neuer Vorbringen die Flüchtlingseigenschaft. Die Beschwerdeführenden beantragen mit ihrem Hauptbegehren in ihrer Eingabe vom 2. August 2016 die wiedererwägungsweise Aufhebung der Verfügung vom 28. Januar 2016 und unter Feststellung ihrer Flüchtlingseigenschaft die Gewährung von Asyl. Zur Begründung machen sie im Wesentlichen geltend, der Asylentscheid vom 28. Januar 2016 sei ursprünglich fehlerhaft, weil die Asylvorbringen mit den nun neu eingereichten Beweismitteln glaubhaft gemacht seien. Damit machen sie Gründe geltend, die die Flüchtlingseigenschaft der Beschwerdeführerin betreffen. Ausserdem ist festzustellen, dass die Vorinstanz im erstinstanzlichen "Wiedererwägungsverfahren" umfangreiche Abklärungen (Botschaftsanfrage, Anhörung zu den Asylgründen) getätigt hat. Es liegt somit ein Mehrfachgesuch vor. Die Vorinstanz hat folglich die Eingabe vom 2. August 2016 hinsichtlich des Hauptbegehrens zu Unrecht als Wiedererwägungsgesuch an die Hand genommen. Gelangt das Bundesverwaltungsgericht zur Auffassung, dass es sich bei der Eingabe um ein Mehrfachgesuch im Sinne von Art. 111c AsylG handelt, hebt es die angefochtene Verfügung auf und weist die Sache an die Vorinstanz zurück, mit der Anweisung, die Eingabe als Mehrfachgesuch entgegenzunehmen.</w:t>
      </w:r>
    </w:p>
    <w:p>
      <w:r>
        <w:rPr>
          <w:b/>
        </w:rPr>
        <w:t>E. 6</w:t>
      </w:r>
    </w:p>
    <w:p>
      <w:r>
        <w:t>Die Beschwerde ist im Sinne der Erwägungen gutzuheissen. Die Dispositivziffer 1 der Verfügung vom 5. Februar 2018 (Ablehnung des "Wiedererwägungsgesuchs" im Asylpunkt) ist aufzuheben und die Sache ist an die Vorinstanz zurückzuweisen, mit der Anweisung, die Eingabe vom 2. August 2016 hinsichtlich des Hauptbegehrens als Mehrfachgesuch entgegenzunehmen.</w:t>
      </w:r>
    </w:p>
    <w:p>
      <w:r>
        <w:rPr>
          <w:b/>
        </w:rPr>
        <w:t>E. 7.1</w:t>
      </w:r>
    </w:p>
    <w:p>
      <w:r>
        <w:t>Bei diesem Ausgang des Verfahrens sind keine Kosten zu erheben (Art. 63 Abs. 1 und 2 VwVG), womit der Antrag auf Gewährung der unentgeltlichen Prozessführung im Sinne von Art. 65 Abs. 1 VwVG hinfällig wird.</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Damit wird auch der Antrag auf anwaltliche Rechtsverbeiständung im Sinne von Art. 65 Abs. 2 VwVG gegenstandslos. Der in der (provisorischen) Kostennote vom 8. März 2018 ausgewiesene Arbeitsaufwand von insgesamt 9 Stunden zu einem Stundenansatz von Fr. 270.- erscheint dem vorliegenden Verfahren nicht angemessen und ist auf 6 Stunden zu kürzen, zumal nur die notwendigen und verhältnismässig hohen Kosten zu entschädigen sind (Art. 64 Abs. 1 VwVG i.V.m. Art 7 ff. des Reglements vom 21. Februar 2008 über die Kosten und Entschädigungen vor dem Bundesverwaltungsgericht [VGKE, SR 173.320.2]). Gestützt auf die in Betracht zu ziehenden Bemessungsfaktoren (Art. 9-13 VGKE) und die Entschädigung in Vergleichsfällen ist die von der Vorinstanz auszurichtende Parteientschädigung daher auf insgesamt Fr. 1774.-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